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865804" w14:textId="77777777" w:rsidR="001C332B" w:rsidRDefault="008352E7">
      <w:pPr>
        <w:pStyle w:val="Ttulo1"/>
        <w:rPr>
          <w:rFonts w:ascii="Times New Roman" w:eastAsia="Times New Roman" w:hAnsi="Times New Roman" w:cs="Times New Roman"/>
          <w:b/>
          <w:color w:val="000000"/>
        </w:rPr>
      </w:pPr>
      <w:r>
        <w:rPr>
          <w:rFonts w:ascii="Times New Roman" w:eastAsia="Times New Roman" w:hAnsi="Times New Roman" w:cs="Times New Roman"/>
          <w:b/>
          <w:color w:val="000000"/>
        </w:rPr>
        <w:t xml:space="preserve">Validation of the new microarray platform ALEX for specific </w:t>
      </w:r>
      <w:proofErr w:type="spellStart"/>
      <w:r>
        <w:rPr>
          <w:rFonts w:ascii="Times New Roman" w:eastAsia="Times New Roman" w:hAnsi="Times New Roman" w:cs="Times New Roman"/>
          <w:b/>
          <w:color w:val="000000"/>
        </w:rPr>
        <w:t>IgE</w:t>
      </w:r>
      <w:proofErr w:type="spellEnd"/>
      <w:r>
        <w:rPr>
          <w:rFonts w:ascii="Times New Roman" w:eastAsia="Times New Roman" w:hAnsi="Times New Roman" w:cs="Times New Roman"/>
          <w:b/>
          <w:color w:val="000000"/>
        </w:rPr>
        <w:t xml:space="preserve"> detection of respiratory and plant-food allergens</w:t>
      </w:r>
    </w:p>
    <w:p w14:paraId="5DEB3C63" w14:textId="77777777" w:rsidR="001C332B" w:rsidRDefault="001C332B"/>
    <w:p w14:paraId="24787EE1" w14:textId="77777777" w:rsidR="001C332B" w:rsidRDefault="008352E7">
      <w:pPr>
        <w:rPr>
          <w:rFonts w:ascii="Arial" w:eastAsia="Arial" w:hAnsi="Arial" w:cs="Arial"/>
          <w:b/>
          <w:color w:val="1C4587"/>
          <w:sz w:val="22"/>
          <w:szCs w:val="22"/>
        </w:rPr>
      </w:pPr>
      <w:r>
        <w:rPr>
          <w:b/>
        </w:rPr>
        <w:t>Running title:</w:t>
      </w:r>
      <w:r>
        <w:t xml:space="preserve"> </w:t>
      </w:r>
      <w:r w:rsidR="00351050">
        <w:t xml:space="preserve">Validation of the </w:t>
      </w:r>
      <w:r>
        <w:t xml:space="preserve">ALEX microarray platform </w:t>
      </w:r>
    </w:p>
    <w:p w14:paraId="3DA83A35" w14:textId="77777777" w:rsidR="001C332B" w:rsidRDefault="001C332B"/>
    <w:p w14:paraId="79CDCD21" w14:textId="77777777" w:rsidR="001C332B" w:rsidRDefault="008352E7">
      <w:r>
        <w:t xml:space="preserve">Paola Leonor QUAN, MD (1)*, Marina SABATÉ-BRESCÓ, PhD (1, 2, 3)*, Carmen Mariana D'AMELIO, MD, PhD (1, 2, 3), </w:t>
      </w:r>
      <w:proofErr w:type="spellStart"/>
      <w:r>
        <w:t>Mariona</w:t>
      </w:r>
      <w:proofErr w:type="spellEnd"/>
      <w:r>
        <w:t xml:space="preserve"> PASCAL, MD, PhD (2, 4), Blanca Esther GARCÍA, MD, PhD (2, 3, 5), Gabriel GASTAMINZA, MD, PhD (1, 2, 3), Natalia BLANCA-LÓPEZ, MD, PhD (2, 6), Maria Isabel ALVARADO, MD, PhD (2, 7), F Javier FERNÁNDEZ, MD (2, 8), Carmen MOYA, MD (2, 9), Joan BARTRA, MD, PhD (2, 4), Marta FERRER, MD, PhD (1, 2, 3), Maria Jose GOIKOETXEA, MD, PhD (1, 2, 3) </w:t>
      </w:r>
    </w:p>
    <w:p w14:paraId="67436EEF" w14:textId="77777777" w:rsidR="001C332B" w:rsidRDefault="001C332B"/>
    <w:p w14:paraId="2103C215" w14:textId="77777777" w:rsidR="001C332B" w:rsidRDefault="008352E7">
      <w:pPr>
        <w:numPr>
          <w:ilvl w:val="0"/>
          <w:numId w:val="1"/>
        </w:numPr>
        <w:pBdr>
          <w:top w:val="nil"/>
          <w:left w:val="nil"/>
          <w:bottom w:val="nil"/>
          <w:right w:val="nil"/>
          <w:between w:val="nil"/>
        </w:pBdr>
        <w:spacing w:line="259" w:lineRule="auto"/>
        <w:rPr>
          <w:color w:val="000000"/>
        </w:rPr>
      </w:pPr>
      <w:r>
        <w:rPr>
          <w:highlight w:val="white"/>
        </w:rPr>
        <w:t xml:space="preserve">Department of Allergy and Clinical Immunology, </w:t>
      </w:r>
      <w:proofErr w:type="spellStart"/>
      <w:r>
        <w:t>Clínica</w:t>
      </w:r>
      <w:proofErr w:type="spellEnd"/>
      <w:r>
        <w:t xml:space="preserve"> Universidad de Navarra</w:t>
      </w:r>
      <w:r>
        <w:rPr>
          <w:color w:val="000000"/>
        </w:rPr>
        <w:t>, Pamplona, Spain</w:t>
      </w:r>
    </w:p>
    <w:p w14:paraId="283971C1" w14:textId="77777777" w:rsidR="001C332B" w:rsidRDefault="008352E7">
      <w:pPr>
        <w:numPr>
          <w:ilvl w:val="0"/>
          <w:numId w:val="1"/>
        </w:numPr>
        <w:pBdr>
          <w:top w:val="nil"/>
          <w:left w:val="nil"/>
          <w:bottom w:val="nil"/>
          <w:right w:val="nil"/>
          <w:between w:val="nil"/>
        </w:pBdr>
        <w:spacing w:line="259" w:lineRule="auto"/>
      </w:pPr>
      <w:r>
        <w:rPr>
          <w:highlight w:val="white"/>
        </w:rPr>
        <w:t>Research Network on Asthma, Drug Adverse Reactions and Allergy</w:t>
      </w:r>
      <w:r>
        <w:t xml:space="preserve"> (</w:t>
      </w:r>
      <w:proofErr w:type="spellStart"/>
      <w:r>
        <w:t>ARADyAL</w:t>
      </w:r>
      <w:proofErr w:type="spellEnd"/>
      <w:r>
        <w:t xml:space="preserve">, </w:t>
      </w:r>
      <w:r>
        <w:rPr>
          <w:highlight w:val="white"/>
        </w:rPr>
        <w:t xml:space="preserve">Red de </w:t>
      </w:r>
      <w:proofErr w:type="spellStart"/>
      <w:r>
        <w:rPr>
          <w:highlight w:val="white"/>
        </w:rPr>
        <w:t>Investigación</w:t>
      </w:r>
      <w:proofErr w:type="spellEnd"/>
      <w:r>
        <w:rPr>
          <w:highlight w:val="white"/>
        </w:rPr>
        <w:t xml:space="preserve"> </w:t>
      </w:r>
      <w:proofErr w:type="spellStart"/>
      <w:r>
        <w:rPr>
          <w:highlight w:val="white"/>
        </w:rPr>
        <w:t>en</w:t>
      </w:r>
      <w:proofErr w:type="spellEnd"/>
      <w:r>
        <w:rPr>
          <w:highlight w:val="white"/>
        </w:rPr>
        <w:t xml:space="preserve"> Asma, </w:t>
      </w:r>
      <w:proofErr w:type="spellStart"/>
      <w:r>
        <w:rPr>
          <w:highlight w:val="white"/>
        </w:rPr>
        <w:t>Reacciones</w:t>
      </w:r>
      <w:proofErr w:type="spellEnd"/>
      <w:r>
        <w:rPr>
          <w:highlight w:val="white"/>
        </w:rPr>
        <w:t xml:space="preserve"> </w:t>
      </w:r>
      <w:proofErr w:type="spellStart"/>
      <w:r>
        <w:rPr>
          <w:highlight w:val="white"/>
        </w:rPr>
        <w:t>Adversas</w:t>
      </w:r>
      <w:proofErr w:type="spellEnd"/>
      <w:r>
        <w:rPr>
          <w:highlight w:val="white"/>
        </w:rPr>
        <w:t xml:space="preserve"> a </w:t>
      </w:r>
      <w:proofErr w:type="spellStart"/>
      <w:r>
        <w:rPr>
          <w:highlight w:val="white"/>
        </w:rPr>
        <w:t>Fármacos</w:t>
      </w:r>
      <w:proofErr w:type="spellEnd"/>
      <w:r>
        <w:rPr>
          <w:highlight w:val="white"/>
        </w:rPr>
        <w:t xml:space="preserve"> y </w:t>
      </w:r>
      <w:proofErr w:type="spellStart"/>
      <w:r>
        <w:rPr>
          <w:highlight w:val="white"/>
        </w:rPr>
        <w:t>Alergia</w:t>
      </w:r>
      <w:proofErr w:type="spellEnd"/>
      <w:r>
        <w:t xml:space="preserve">) </w:t>
      </w:r>
    </w:p>
    <w:p w14:paraId="3ECDAF96" w14:textId="77777777" w:rsidR="001C332B" w:rsidRPr="008352E7" w:rsidRDefault="008352E7">
      <w:pPr>
        <w:numPr>
          <w:ilvl w:val="0"/>
          <w:numId w:val="1"/>
        </w:numPr>
        <w:pBdr>
          <w:top w:val="nil"/>
          <w:left w:val="nil"/>
          <w:bottom w:val="nil"/>
          <w:right w:val="nil"/>
          <w:between w:val="nil"/>
        </w:pBdr>
        <w:spacing w:line="259" w:lineRule="auto"/>
        <w:rPr>
          <w:lang w:val="es-ES"/>
        </w:rPr>
      </w:pPr>
      <w:r w:rsidRPr="008352E7">
        <w:rPr>
          <w:lang w:val="es-ES"/>
        </w:rPr>
        <w:t xml:space="preserve">Navarra </w:t>
      </w:r>
      <w:proofErr w:type="spellStart"/>
      <w:r w:rsidRPr="008352E7">
        <w:rPr>
          <w:lang w:val="es-ES"/>
        </w:rPr>
        <w:t>Health</w:t>
      </w:r>
      <w:proofErr w:type="spellEnd"/>
      <w:r w:rsidRPr="008352E7">
        <w:rPr>
          <w:lang w:val="es-ES"/>
        </w:rPr>
        <w:t xml:space="preserve"> </w:t>
      </w:r>
      <w:proofErr w:type="spellStart"/>
      <w:r w:rsidRPr="008352E7">
        <w:rPr>
          <w:lang w:val="es-ES"/>
        </w:rPr>
        <w:t>Research</w:t>
      </w:r>
      <w:proofErr w:type="spellEnd"/>
      <w:r w:rsidRPr="008352E7">
        <w:rPr>
          <w:lang w:val="es-ES"/>
        </w:rPr>
        <w:t xml:space="preserve"> </w:t>
      </w:r>
      <w:proofErr w:type="spellStart"/>
      <w:r w:rsidRPr="008352E7">
        <w:rPr>
          <w:lang w:val="es-ES"/>
        </w:rPr>
        <w:t>Institute</w:t>
      </w:r>
      <w:proofErr w:type="spellEnd"/>
      <w:r w:rsidRPr="008352E7">
        <w:rPr>
          <w:lang w:val="es-ES"/>
        </w:rPr>
        <w:t xml:space="preserve"> (IDISNA, Instituto de Investigación Sanitaria de Navarra), Pamplona, </w:t>
      </w:r>
      <w:proofErr w:type="spellStart"/>
      <w:r w:rsidRPr="008352E7">
        <w:rPr>
          <w:lang w:val="es-ES"/>
        </w:rPr>
        <w:t>Spain</w:t>
      </w:r>
      <w:proofErr w:type="spellEnd"/>
    </w:p>
    <w:p w14:paraId="73D5E95A" w14:textId="77777777" w:rsidR="001C332B" w:rsidRDefault="008352E7">
      <w:pPr>
        <w:numPr>
          <w:ilvl w:val="0"/>
          <w:numId w:val="1"/>
        </w:numPr>
        <w:pBdr>
          <w:top w:val="nil"/>
          <w:left w:val="nil"/>
          <w:bottom w:val="nil"/>
          <w:right w:val="nil"/>
          <w:between w:val="nil"/>
        </w:pBdr>
        <w:spacing w:line="259" w:lineRule="auto"/>
        <w:rPr>
          <w:color w:val="000000"/>
        </w:rPr>
      </w:pPr>
      <w:r>
        <w:rPr>
          <w:color w:val="000000"/>
        </w:rPr>
        <w:t xml:space="preserve">Department of Immunology, CDB, Hospital </w:t>
      </w:r>
      <w:proofErr w:type="spellStart"/>
      <w:r>
        <w:rPr>
          <w:color w:val="000000"/>
        </w:rPr>
        <w:t>Clínic</w:t>
      </w:r>
      <w:proofErr w:type="spellEnd"/>
      <w:r>
        <w:rPr>
          <w:color w:val="000000"/>
        </w:rPr>
        <w:t xml:space="preserve">, Barcelona, Spain; IDIBAPS, </w:t>
      </w:r>
      <w:proofErr w:type="spellStart"/>
      <w:r>
        <w:rPr>
          <w:color w:val="000000"/>
        </w:rPr>
        <w:t>Universitat</w:t>
      </w:r>
      <w:proofErr w:type="spellEnd"/>
      <w:r>
        <w:rPr>
          <w:color w:val="000000"/>
        </w:rPr>
        <w:t xml:space="preserve"> de Barcelona, Barcelona, Spain</w:t>
      </w:r>
    </w:p>
    <w:p w14:paraId="7066160E" w14:textId="77777777" w:rsidR="001C332B" w:rsidRPr="000B11F4" w:rsidRDefault="000B11F4">
      <w:pPr>
        <w:numPr>
          <w:ilvl w:val="0"/>
          <w:numId w:val="1"/>
        </w:numPr>
        <w:pBdr>
          <w:top w:val="nil"/>
          <w:left w:val="nil"/>
          <w:bottom w:val="nil"/>
          <w:right w:val="nil"/>
          <w:between w:val="nil"/>
        </w:pBdr>
        <w:spacing w:line="259" w:lineRule="auto"/>
        <w:rPr>
          <w:color w:val="000000"/>
          <w:lang w:val="es-ES"/>
        </w:rPr>
      </w:pPr>
      <w:r w:rsidRPr="000B11F4">
        <w:rPr>
          <w:color w:val="000000"/>
          <w:lang w:val="es-ES"/>
        </w:rPr>
        <w:t>Complejo Hospitalario de Navarra</w:t>
      </w:r>
      <w:r w:rsidR="008352E7" w:rsidRPr="000B11F4">
        <w:rPr>
          <w:color w:val="000000"/>
          <w:lang w:val="es-ES"/>
        </w:rPr>
        <w:t xml:space="preserve">, Pamplona, </w:t>
      </w:r>
      <w:proofErr w:type="spellStart"/>
      <w:r w:rsidR="008352E7" w:rsidRPr="000B11F4">
        <w:rPr>
          <w:color w:val="000000"/>
          <w:lang w:val="es-ES"/>
        </w:rPr>
        <w:t>Spain</w:t>
      </w:r>
      <w:proofErr w:type="spellEnd"/>
    </w:p>
    <w:p w14:paraId="17691ABD" w14:textId="77777777" w:rsidR="001C332B" w:rsidRDefault="008352E7">
      <w:pPr>
        <w:numPr>
          <w:ilvl w:val="0"/>
          <w:numId w:val="1"/>
        </w:numPr>
        <w:pBdr>
          <w:top w:val="nil"/>
          <w:left w:val="nil"/>
          <w:bottom w:val="nil"/>
          <w:right w:val="nil"/>
          <w:between w:val="nil"/>
        </w:pBdr>
        <w:spacing w:line="259" w:lineRule="auto"/>
        <w:rPr>
          <w:color w:val="000000"/>
        </w:rPr>
      </w:pPr>
      <w:r>
        <w:rPr>
          <w:color w:val="000000"/>
        </w:rPr>
        <w:t>Infanta Leonor Hospital, Madrid, Spain</w:t>
      </w:r>
    </w:p>
    <w:p w14:paraId="36337DAE" w14:textId="77777777" w:rsidR="001C332B" w:rsidRPr="008352E7" w:rsidRDefault="008352E7">
      <w:pPr>
        <w:numPr>
          <w:ilvl w:val="0"/>
          <w:numId w:val="1"/>
        </w:numPr>
        <w:pBdr>
          <w:top w:val="nil"/>
          <w:left w:val="nil"/>
          <w:bottom w:val="nil"/>
          <w:right w:val="nil"/>
          <w:between w:val="nil"/>
        </w:pBdr>
        <w:rPr>
          <w:lang w:val="es-ES"/>
        </w:rPr>
      </w:pPr>
      <w:r w:rsidRPr="008352E7">
        <w:rPr>
          <w:color w:val="000000"/>
          <w:lang w:val="es-ES"/>
        </w:rPr>
        <w:t xml:space="preserve">Complejo Hospitalario Universitario de Cáceres, Cáceres, </w:t>
      </w:r>
      <w:proofErr w:type="spellStart"/>
      <w:r w:rsidRPr="008352E7">
        <w:rPr>
          <w:color w:val="000000"/>
          <w:lang w:val="es-ES"/>
        </w:rPr>
        <w:t>Spain</w:t>
      </w:r>
      <w:proofErr w:type="spellEnd"/>
    </w:p>
    <w:p w14:paraId="70695ED0" w14:textId="77777777" w:rsidR="001C332B" w:rsidRPr="008352E7" w:rsidRDefault="008352E7">
      <w:pPr>
        <w:numPr>
          <w:ilvl w:val="0"/>
          <w:numId w:val="1"/>
        </w:numPr>
        <w:pBdr>
          <w:top w:val="nil"/>
          <w:left w:val="nil"/>
          <w:bottom w:val="nil"/>
          <w:right w:val="nil"/>
          <w:between w:val="nil"/>
        </w:pBdr>
        <w:ind w:left="357" w:hanging="357"/>
        <w:rPr>
          <w:lang w:val="es-ES"/>
        </w:rPr>
      </w:pPr>
      <w:r w:rsidRPr="008352E7">
        <w:rPr>
          <w:color w:val="000000"/>
          <w:lang w:val="es-ES"/>
        </w:rPr>
        <w:t xml:space="preserve">Hospital General de Alicante, Alicante, </w:t>
      </w:r>
      <w:proofErr w:type="spellStart"/>
      <w:r w:rsidRPr="008352E7">
        <w:rPr>
          <w:color w:val="000000"/>
          <w:lang w:val="es-ES"/>
        </w:rPr>
        <w:t>Spaim</w:t>
      </w:r>
      <w:proofErr w:type="spellEnd"/>
      <w:r w:rsidRPr="008352E7">
        <w:rPr>
          <w:color w:val="000000"/>
          <w:lang w:val="es-ES"/>
        </w:rPr>
        <w:t xml:space="preserve">; </w:t>
      </w:r>
      <w:r w:rsidRPr="008352E7">
        <w:rPr>
          <w:lang w:val="es-ES"/>
        </w:rPr>
        <w:t>I</w:t>
      </w:r>
      <w:r w:rsidRPr="008352E7">
        <w:rPr>
          <w:color w:val="000000"/>
          <w:lang w:val="es-ES"/>
        </w:rPr>
        <w:t>SABIAL</w:t>
      </w:r>
      <w:r w:rsidRPr="008352E7">
        <w:rPr>
          <w:lang w:val="es-ES"/>
        </w:rPr>
        <w:t xml:space="preserve">, </w:t>
      </w:r>
      <w:r w:rsidRPr="008352E7">
        <w:rPr>
          <w:color w:val="000000"/>
          <w:lang w:val="es-ES"/>
        </w:rPr>
        <w:t xml:space="preserve">Universidad Miguel </w:t>
      </w:r>
      <w:proofErr w:type="spellStart"/>
      <w:r w:rsidRPr="008352E7">
        <w:rPr>
          <w:color w:val="000000"/>
          <w:lang w:val="es-ES"/>
        </w:rPr>
        <w:t>Hernandez</w:t>
      </w:r>
      <w:proofErr w:type="spellEnd"/>
      <w:r w:rsidRPr="008352E7">
        <w:rPr>
          <w:color w:val="000000"/>
          <w:lang w:val="es-ES"/>
        </w:rPr>
        <w:t xml:space="preserve">, Alicante, </w:t>
      </w:r>
      <w:proofErr w:type="spellStart"/>
      <w:r w:rsidRPr="008352E7">
        <w:rPr>
          <w:color w:val="000000"/>
          <w:lang w:val="es-ES"/>
        </w:rPr>
        <w:t>Spain</w:t>
      </w:r>
      <w:proofErr w:type="spellEnd"/>
      <w:r w:rsidRPr="008352E7">
        <w:rPr>
          <w:color w:val="000000"/>
          <w:lang w:val="es-ES"/>
        </w:rPr>
        <w:t xml:space="preserve"> </w:t>
      </w:r>
    </w:p>
    <w:p w14:paraId="15675344" w14:textId="77777777" w:rsidR="001C332B" w:rsidRDefault="008352E7">
      <w:pPr>
        <w:numPr>
          <w:ilvl w:val="0"/>
          <w:numId w:val="1"/>
        </w:numPr>
        <w:pBdr>
          <w:top w:val="nil"/>
          <w:left w:val="nil"/>
          <w:bottom w:val="nil"/>
          <w:right w:val="nil"/>
          <w:between w:val="nil"/>
        </w:pBdr>
        <w:ind w:left="357" w:hanging="357"/>
      </w:pPr>
      <w:proofErr w:type="spellStart"/>
      <w:r>
        <w:rPr>
          <w:color w:val="000000"/>
        </w:rPr>
        <w:t>Complejo</w:t>
      </w:r>
      <w:proofErr w:type="spellEnd"/>
      <w:r>
        <w:rPr>
          <w:color w:val="000000"/>
        </w:rPr>
        <w:t xml:space="preserve"> </w:t>
      </w:r>
      <w:proofErr w:type="spellStart"/>
      <w:r>
        <w:rPr>
          <w:color w:val="000000"/>
        </w:rPr>
        <w:t>Hospitalario</w:t>
      </w:r>
      <w:proofErr w:type="spellEnd"/>
      <w:r>
        <w:rPr>
          <w:color w:val="000000"/>
        </w:rPr>
        <w:t xml:space="preserve"> </w:t>
      </w:r>
      <w:proofErr w:type="spellStart"/>
      <w:r>
        <w:rPr>
          <w:color w:val="000000"/>
        </w:rPr>
        <w:t>Torrecárdenas</w:t>
      </w:r>
      <w:proofErr w:type="spellEnd"/>
      <w:r>
        <w:rPr>
          <w:color w:val="000000"/>
        </w:rPr>
        <w:t>, Almería, Spain</w:t>
      </w:r>
    </w:p>
    <w:p w14:paraId="37F21B5D" w14:textId="77777777" w:rsidR="001C332B" w:rsidRDefault="001C332B">
      <w:pPr>
        <w:pBdr>
          <w:top w:val="nil"/>
          <w:left w:val="nil"/>
          <w:bottom w:val="nil"/>
          <w:right w:val="nil"/>
          <w:between w:val="nil"/>
        </w:pBdr>
        <w:spacing w:after="160" w:line="259" w:lineRule="auto"/>
      </w:pPr>
    </w:p>
    <w:p w14:paraId="5E109972" w14:textId="77777777" w:rsidR="001C332B" w:rsidRDefault="008352E7">
      <w:pPr>
        <w:pBdr>
          <w:top w:val="nil"/>
          <w:left w:val="nil"/>
          <w:bottom w:val="nil"/>
          <w:right w:val="nil"/>
          <w:between w:val="nil"/>
        </w:pBdr>
        <w:spacing w:after="160" w:line="259" w:lineRule="auto"/>
        <w:rPr>
          <w:color w:val="000000"/>
        </w:rPr>
      </w:pPr>
      <w:r>
        <w:t>*Both authors contributed equally to this work.</w:t>
      </w:r>
    </w:p>
    <w:p w14:paraId="3DDBA260" w14:textId="77777777" w:rsidR="001C332B" w:rsidRDefault="001C332B"/>
    <w:p w14:paraId="2DF10F4C" w14:textId="77777777" w:rsidR="001C332B" w:rsidRDefault="001C332B">
      <w:pPr>
        <w:rPr>
          <w:color w:val="205493"/>
        </w:rPr>
      </w:pPr>
    </w:p>
    <w:p w14:paraId="13E4A8F5" w14:textId="77777777" w:rsidR="001C332B" w:rsidRDefault="008352E7">
      <w:pPr>
        <w:keepNext/>
        <w:keepLines/>
        <w:spacing w:before="240" w:line="360" w:lineRule="auto"/>
        <w:rPr>
          <w:b/>
          <w:sz w:val="28"/>
          <w:szCs w:val="28"/>
        </w:rPr>
      </w:pPr>
      <w:r>
        <w:rPr>
          <w:b/>
          <w:sz w:val="28"/>
          <w:szCs w:val="28"/>
        </w:rPr>
        <w:t xml:space="preserve">Acknowledgments </w:t>
      </w:r>
    </w:p>
    <w:p w14:paraId="46328A62" w14:textId="77777777" w:rsidR="001C332B" w:rsidRDefault="008352E7">
      <w:pPr>
        <w:spacing w:line="360" w:lineRule="auto"/>
        <w:jc w:val="both"/>
      </w:pPr>
      <w:r>
        <w:t xml:space="preserve">We thank Sonia Ariz Muñoz, Pablo Fernández Maya and María Angeles Salgado for their excellent technical work. We also thank Juana Schwartz for the statistical support. </w:t>
      </w:r>
    </w:p>
    <w:p w14:paraId="1BF3A11A" w14:textId="77777777" w:rsidR="001C332B" w:rsidRDefault="008352E7">
      <w:pPr>
        <w:spacing w:line="360" w:lineRule="auto"/>
        <w:jc w:val="both"/>
      </w:pPr>
      <w:r>
        <w:t>This research was financially supported by the Carlos III Health Institute (Grant: PI 11/01634), the SEAIC foundation, and by the Carlos III Health Institute through the Spanish Research Network on Adverse Reactions to Allergens and Drugs (RIRAAF, RD12/0013/00010, and ARADYAL, RD16/0006/0031). MacroArray Diagnostics supplied all the</w:t>
      </w:r>
      <w:r w:rsidR="000B11F4">
        <w:t xml:space="preserve"> ALEX2 related </w:t>
      </w:r>
      <w:r>
        <w:t xml:space="preserve">material required for this study and </w:t>
      </w:r>
      <w:proofErr w:type="spellStart"/>
      <w:r>
        <w:t>Th</w:t>
      </w:r>
      <w:r w:rsidR="000B11F4">
        <w:t>ermoFisher</w:t>
      </w:r>
      <w:proofErr w:type="spellEnd"/>
      <w:r w:rsidR="000B11F4">
        <w:t xml:space="preserve"> Scientific most of the ImmunoCAP related material</w:t>
      </w:r>
      <w:r>
        <w:t xml:space="preserve">. </w:t>
      </w:r>
    </w:p>
    <w:p w14:paraId="6C783191" w14:textId="77777777" w:rsidR="001C332B" w:rsidRDefault="001C332B">
      <w:pPr>
        <w:rPr>
          <w:rFonts w:ascii="Arial" w:eastAsia="Arial" w:hAnsi="Arial" w:cs="Arial"/>
          <w:b/>
          <w:color w:val="205493"/>
          <w:sz w:val="22"/>
          <w:szCs w:val="22"/>
        </w:rPr>
      </w:pPr>
    </w:p>
    <w:p w14:paraId="5A1280AF" w14:textId="77777777" w:rsidR="001C332B" w:rsidRDefault="008352E7">
      <w:pPr>
        <w:keepNext/>
        <w:keepLines/>
        <w:spacing w:before="240" w:line="360" w:lineRule="auto"/>
        <w:rPr>
          <w:b/>
          <w:highlight w:val="yellow"/>
        </w:rPr>
      </w:pPr>
      <w:r>
        <w:rPr>
          <w:b/>
          <w:sz w:val="28"/>
          <w:szCs w:val="28"/>
        </w:rPr>
        <w:lastRenderedPageBreak/>
        <w:t>Abstract</w:t>
      </w:r>
    </w:p>
    <w:p w14:paraId="12DFA0E7" w14:textId="77777777" w:rsidR="001C332B" w:rsidRDefault="008352E7">
      <w:pPr>
        <w:spacing w:line="360" w:lineRule="auto"/>
        <w:jc w:val="both"/>
      </w:pPr>
      <w:r>
        <w:rPr>
          <w:b/>
        </w:rPr>
        <w:t xml:space="preserve">Background: </w:t>
      </w:r>
      <w:r>
        <w:t xml:space="preserve">As the use of multiplex specific </w:t>
      </w:r>
      <w:proofErr w:type="spellStart"/>
      <w:r>
        <w:t>IgE</w:t>
      </w:r>
      <w:proofErr w:type="spellEnd"/>
      <w:r>
        <w:t xml:space="preserve"> (</w:t>
      </w:r>
      <w:proofErr w:type="spellStart"/>
      <w:r>
        <w:t>sIgE</w:t>
      </w:r>
      <w:proofErr w:type="spellEnd"/>
      <w:r>
        <w:t>) detection methods becomes increasingly widespread, proper comparative validation assessments of emerging new platforms are vital. The objective of this study was to assess the clinical and technical performance of the ALEX platform (MacroArray Diagnostics), in comparison to the ImmunoCAP ISAC 112 microarray and the Im</w:t>
      </w:r>
      <w:r w:rsidR="000B11F4">
        <w:t xml:space="preserve">munoCAP </w:t>
      </w:r>
      <w:proofErr w:type="spellStart"/>
      <w:r w:rsidR="000B11F4">
        <w:t>singleplex</w:t>
      </w:r>
      <w:proofErr w:type="spellEnd"/>
      <w:r w:rsidR="000B11F4">
        <w:t xml:space="preserve"> method (</w:t>
      </w:r>
      <w:proofErr w:type="spellStart"/>
      <w:r>
        <w:t>ThermoFisher</w:t>
      </w:r>
      <w:proofErr w:type="spellEnd"/>
      <w:r>
        <w:t xml:space="preserve"> Scientific) in the diagnosis of pollen (cypress, grass, olive), dust mite </w:t>
      </w:r>
      <w:proofErr w:type="spellStart"/>
      <w:r>
        <w:rPr>
          <w:i/>
        </w:rPr>
        <w:t>Dermatophagoides</w:t>
      </w:r>
      <w:proofErr w:type="spellEnd"/>
      <w:r>
        <w:rPr>
          <w:i/>
        </w:rPr>
        <w:t xml:space="preserve"> pteronyssinus</w:t>
      </w:r>
      <w:r>
        <w:t xml:space="preserve">, </w:t>
      </w:r>
      <w:r>
        <w:rPr>
          <w:i/>
        </w:rPr>
        <w:t>Alternaria alternata</w:t>
      </w:r>
      <w:r>
        <w:t xml:space="preserve">, fruit (apple, peach) and nut (walnut, hazelnut and peanut) allergy. </w:t>
      </w:r>
    </w:p>
    <w:p w14:paraId="282C83E7" w14:textId="77777777" w:rsidR="001C332B" w:rsidRDefault="008352E7">
      <w:pPr>
        <w:spacing w:line="360" w:lineRule="auto"/>
        <w:jc w:val="both"/>
      </w:pPr>
      <w:r>
        <w:rPr>
          <w:b/>
        </w:rPr>
        <w:t>Methods:</w:t>
      </w:r>
      <w:r>
        <w:t xml:space="preserve"> </w:t>
      </w:r>
      <w:r w:rsidR="000B11F4">
        <w:t xml:space="preserve">We enrolled </w:t>
      </w:r>
      <w:r>
        <w:t xml:space="preserve">153 allergic patients and 16 non-atopic controls. </w:t>
      </w:r>
      <w:proofErr w:type="spellStart"/>
      <w:r>
        <w:t>sIgE</w:t>
      </w:r>
      <w:proofErr w:type="spellEnd"/>
      <w:r>
        <w:t xml:space="preserve"> assays were conducted using ISAC112, ALEX version 2 (ALEX2), and ImmunoCAP for whole extracts and major components. Technical validation of ALEX2 was performed by measuring repea</w:t>
      </w:r>
      <w:r w:rsidR="004A342B">
        <w:t>tability and inter-assay, inter-</w:t>
      </w:r>
      <w:proofErr w:type="gramStart"/>
      <w:r w:rsidR="004A342B">
        <w:t>batch</w:t>
      </w:r>
      <w:proofErr w:type="gramEnd"/>
      <w:r w:rsidR="004A342B">
        <w:t xml:space="preserve"> and inter-</w:t>
      </w:r>
      <w:r>
        <w:t>lab reproducibility.</w:t>
      </w:r>
      <w:r>
        <w:br/>
      </w:r>
      <w:r>
        <w:rPr>
          <w:b/>
        </w:rPr>
        <w:t>Results:</w:t>
      </w:r>
      <w:r>
        <w:t xml:space="preserve"> When measured globally (detection by one or more allergen components), ALEX2 showed adequate sensitivity and specificity for most of the allergens studied, comparable in general to that of ISAC112 (except for olive pollen and walnut) and similar to that of ImmunoCAP whole extract measurements. Component-by-component analysis showed comparable results for all techniques, except for Ole e 1 and Jug r 3 in both ISAC112 and ImmunoCAP comparisons, and Alt a 1, when compared with ISAC112. Continuous </w:t>
      </w:r>
      <w:proofErr w:type="spellStart"/>
      <w:r>
        <w:t>sIgE</w:t>
      </w:r>
      <w:proofErr w:type="spellEnd"/>
      <w:r>
        <w:t xml:space="preserve"> levels correlate with </w:t>
      </w:r>
      <w:proofErr w:type="spellStart"/>
      <w:r>
        <w:t>sIgE</w:t>
      </w:r>
      <w:proofErr w:type="spellEnd"/>
      <w:r>
        <w:t xml:space="preserve"> by ImmunoCAP. Good reproducibility and repeatability were observed for ALEX2.</w:t>
      </w:r>
    </w:p>
    <w:p w14:paraId="4ECD016B" w14:textId="77777777" w:rsidR="001C332B" w:rsidRDefault="008352E7">
      <w:pPr>
        <w:spacing w:line="360" w:lineRule="auto"/>
        <w:jc w:val="both"/>
      </w:pPr>
      <w:r>
        <w:rPr>
          <w:b/>
        </w:rPr>
        <w:t xml:space="preserve">Conclusions: </w:t>
      </w:r>
      <w:r>
        <w:t xml:space="preserve">ALEX2 shows sound technical performance, and adequate diagnostic capacity, comparable in general to that of ISAC112 and ImmunoCAP for some aeroallergens and plant-food allergies in Mediterranean patients. </w:t>
      </w:r>
    </w:p>
    <w:p w14:paraId="29BC512C" w14:textId="77777777" w:rsidR="001C332B" w:rsidRDefault="001C332B">
      <w:pPr>
        <w:spacing w:line="360" w:lineRule="auto"/>
        <w:jc w:val="both"/>
        <w:rPr>
          <w:b/>
          <w:sz w:val="28"/>
          <w:szCs w:val="28"/>
        </w:rPr>
      </w:pPr>
    </w:p>
    <w:p w14:paraId="3882BCA8" w14:textId="77777777" w:rsidR="001C332B" w:rsidRDefault="008352E7">
      <w:pPr>
        <w:spacing w:line="360" w:lineRule="auto"/>
        <w:jc w:val="both"/>
        <w:rPr>
          <w:color w:val="FF0000"/>
        </w:rPr>
      </w:pPr>
      <w:r>
        <w:rPr>
          <w:b/>
          <w:sz w:val="28"/>
          <w:szCs w:val="28"/>
        </w:rPr>
        <w:t>Abstract word count:</w:t>
      </w:r>
      <w:r>
        <w:rPr>
          <w:color w:val="FF0000"/>
        </w:rPr>
        <w:t xml:space="preserve"> </w:t>
      </w:r>
      <w:r>
        <w:t>24</w:t>
      </w:r>
      <w:r w:rsidR="00BB3C3F">
        <w:t>5</w:t>
      </w:r>
    </w:p>
    <w:p w14:paraId="0A8C514D" w14:textId="77777777" w:rsidR="001C332B" w:rsidRDefault="001C332B"/>
    <w:p w14:paraId="4417A966" w14:textId="77777777" w:rsidR="001C332B" w:rsidRDefault="008352E7">
      <w:pPr>
        <w:spacing w:line="360" w:lineRule="auto"/>
      </w:pPr>
      <w:r>
        <w:rPr>
          <w:b/>
          <w:sz w:val="28"/>
          <w:szCs w:val="28"/>
        </w:rPr>
        <w:t>Key words:</w:t>
      </w:r>
      <w:r>
        <w:t xml:space="preserve"> Component-resolved diagnosis. Microarray. Specific </w:t>
      </w:r>
      <w:proofErr w:type="spellStart"/>
      <w:r>
        <w:t>IgE</w:t>
      </w:r>
      <w:proofErr w:type="spellEnd"/>
      <w:r>
        <w:t xml:space="preserve">. Reproducibility. Linearity. </w:t>
      </w:r>
      <w:r>
        <w:br/>
      </w:r>
    </w:p>
    <w:p w14:paraId="5ACA9142" w14:textId="77777777" w:rsidR="001C332B" w:rsidRDefault="001C332B">
      <w:pPr>
        <w:spacing w:line="360" w:lineRule="auto"/>
      </w:pPr>
    </w:p>
    <w:p w14:paraId="28337DB3" w14:textId="77777777" w:rsidR="001C332B" w:rsidRDefault="001C332B">
      <w:pPr>
        <w:spacing w:line="360" w:lineRule="auto"/>
      </w:pPr>
    </w:p>
    <w:p w14:paraId="5A6A0502" w14:textId="77777777" w:rsidR="001C332B" w:rsidRDefault="001C332B">
      <w:pPr>
        <w:spacing w:line="360" w:lineRule="auto"/>
      </w:pPr>
    </w:p>
    <w:p w14:paraId="304EF46B" w14:textId="77777777" w:rsidR="001C332B" w:rsidRDefault="001C332B">
      <w:pPr>
        <w:spacing w:line="360" w:lineRule="auto"/>
      </w:pPr>
    </w:p>
    <w:p w14:paraId="60038CC7" w14:textId="77777777" w:rsidR="001C332B" w:rsidRDefault="001C332B">
      <w:pPr>
        <w:spacing w:line="360" w:lineRule="auto"/>
      </w:pPr>
    </w:p>
    <w:p w14:paraId="033C9B51" w14:textId="77777777" w:rsidR="001C332B" w:rsidRDefault="001C332B">
      <w:pPr>
        <w:spacing w:line="360" w:lineRule="auto"/>
      </w:pPr>
    </w:p>
    <w:p w14:paraId="471F30EA" w14:textId="23A63DE9" w:rsidR="001C332B" w:rsidRDefault="008352E7">
      <w:pPr>
        <w:spacing w:line="360" w:lineRule="auto"/>
        <w:rPr>
          <w:color w:val="FF0000"/>
        </w:rPr>
      </w:pPr>
      <w:bookmarkStart w:id="0" w:name="_heading=h.gjdgxs" w:colFirst="0" w:colLast="0"/>
      <w:bookmarkEnd w:id="0"/>
      <w:r>
        <w:rPr>
          <w:b/>
          <w:sz w:val="28"/>
          <w:szCs w:val="28"/>
        </w:rPr>
        <w:lastRenderedPageBreak/>
        <w:t>Manuscript word count:</w:t>
      </w:r>
      <w:r>
        <w:rPr>
          <w:color w:val="FF0000"/>
        </w:rPr>
        <w:t xml:space="preserve"> </w:t>
      </w:r>
      <w:r>
        <w:t>3</w:t>
      </w:r>
      <w:r w:rsidR="00BB3C3F">
        <w:t>41</w:t>
      </w:r>
      <w:r w:rsidR="00F810E0">
        <w:t>7</w:t>
      </w:r>
    </w:p>
    <w:p w14:paraId="12A46D96" w14:textId="77777777" w:rsidR="001C332B" w:rsidRDefault="008352E7">
      <w:pPr>
        <w:keepNext/>
        <w:keepLines/>
        <w:pBdr>
          <w:top w:val="nil"/>
          <w:left w:val="nil"/>
          <w:bottom w:val="nil"/>
          <w:right w:val="nil"/>
          <w:between w:val="nil"/>
        </w:pBdr>
        <w:spacing w:before="240" w:line="360" w:lineRule="auto"/>
        <w:rPr>
          <w:b/>
          <w:color w:val="2E75B5"/>
        </w:rPr>
      </w:pPr>
      <w:r>
        <w:rPr>
          <w:b/>
          <w:color w:val="000000"/>
          <w:sz w:val="28"/>
          <w:szCs w:val="28"/>
        </w:rPr>
        <w:t>Introduction</w:t>
      </w:r>
    </w:p>
    <w:p w14:paraId="490CBF2D" w14:textId="77777777" w:rsidR="001C332B" w:rsidRDefault="008352E7">
      <w:pPr>
        <w:spacing w:after="160" w:line="360" w:lineRule="auto"/>
        <w:jc w:val="both"/>
        <w:rPr>
          <w:rFonts w:ascii="Helvetica Neue" w:eastAsia="Helvetica Neue" w:hAnsi="Helvetica Neue" w:cs="Helvetica Neue"/>
          <w:color w:val="212121"/>
        </w:rPr>
      </w:pPr>
      <w:r>
        <w:t>The use of multiplex platforms in component-resolved diagnosis (CRD) has aided allergists in obtaining detailed information on a patients’ specific allergenic profile by means of a single-measurement method. However, some limitations have been uncovered for the first commercially available allergen platforms</w:t>
      </w:r>
      <w:r>
        <w:rPr>
          <w:vertAlign w:val="superscript"/>
        </w:rPr>
        <w:t>1, 2</w:t>
      </w:r>
      <w:r>
        <w:t>. Furthermore, adequate panel selection</w:t>
      </w:r>
      <w:r>
        <w:rPr>
          <w:vertAlign w:val="superscript"/>
        </w:rPr>
        <w:t>3, 4</w:t>
      </w:r>
      <w:r>
        <w:t xml:space="preserve"> and the inclusion of whole extract detection as a complement to component analysis, have shown to be essential for an adequate and cost-effective diagnosis</w:t>
      </w:r>
      <w:r>
        <w:rPr>
          <w:vertAlign w:val="superscript"/>
        </w:rPr>
        <w:t>5, 6</w:t>
      </w:r>
      <w:r>
        <w:t xml:space="preserve">. A new microarrayed-allergen platform, named Allergy Explorer (ALEX, MacroArray Diagnostics), has recently been introduced. By means of nanoparticle-based technology, it performs a quantitative analysis of specific </w:t>
      </w:r>
      <w:proofErr w:type="spellStart"/>
      <w:r>
        <w:t>IgE</w:t>
      </w:r>
      <w:proofErr w:type="spellEnd"/>
      <w:r>
        <w:t xml:space="preserve"> (</w:t>
      </w:r>
      <w:proofErr w:type="spellStart"/>
      <w:r>
        <w:t>sIgE</w:t>
      </w:r>
      <w:proofErr w:type="spellEnd"/>
      <w:r>
        <w:t>) to a combination of natural and recombinant allergen components, as well as whole extracts. Its diagnostic capacity seems to correlate well with that of two previously established techniques, the ImmunoCAP ISAC</w:t>
      </w:r>
      <w:r>
        <w:rPr>
          <w:vertAlign w:val="superscript"/>
        </w:rPr>
        <w:t>7-9</w:t>
      </w:r>
      <w:r>
        <w:rPr>
          <w:color w:val="000000"/>
          <w:vertAlign w:val="superscript"/>
        </w:rPr>
        <w:t xml:space="preserve"> </w:t>
      </w:r>
      <w:r>
        <w:rPr>
          <w:color w:val="000000"/>
        </w:rPr>
        <w:t xml:space="preserve">and ImmunoCAP </w:t>
      </w:r>
      <w:proofErr w:type="spellStart"/>
      <w:r>
        <w:rPr>
          <w:color w:val="000000"/>
        </w:rPr>
        <w:t>singleplex</w:t>
      </w:r>
      <w:proofErr w:type="spellEnd"/>
      <w:r>
        <w:rPr>
          <w:color w:val="000000"/>
        </w:rPr>
        <w:t xml:space="preserve"> method</w:t>
      </w:r>
      <w:r>
        <w:rPr>
          <w:color w:val="000000"/>
          <w:vertAlign w:val="superscript"/>
        </w:rPr>
        <w:t>9, 10</w:t>
      </w:r>
      <w:r>
        <w:t>.</w:t>
      </w:r>
    </w:p>
    <w:p w14:paraId="090EF738" w14:textId="77777777" w:rsidR="001C332B" w:rsidRDefault="008352E7">
      <w:pPr>
        <w:spacing w:after="160" w:line="360" w:lineRule="auto"/>
        <w:jc w:val="both"/>
        <w:rPr>
          <w:rFonts w:ascii="Helvetica Neue" w:eastAsia="Helvetica Neue" w:hAnsi="Helvetica Neue" w:cs="Helvetica Neue"/>
          <w:color w:val="212121"/>
          <w:highlight w:val="white"/>
        </w:rPr>
      </w:pPr>
      <w:r>
        <w:t>This study aims to assess the clinical performance of ALEX version 2 (ALEX2) in the diagnosis of pollen (cypress, grass, olive), dust mite (</w:t>
      </w:r>
      <w:proofErr w:type="spellStart"/>
      <w:r>
        <w:rPr>
          <w:i/>
        </w:rPr>
        <w:t>Dermatophagoides</w:t>
      </w:r>
      <w:proofErr w:type="spellEnd"/>
      <w:r>
        <w:rPr>
          <w:i/>
        </w:rPr>
        <w:t xml:space="preserve"> pteronyssinus</w:t>
      </w:r>
      <w:r>
        <w:t>), mold (</w:t>
      </w:r>
      <w:r>
        <w:rPr>
          <w:i/>
        </w:rPr>
        <w:t>Alternaria alternata</w:t>
      </w:r>
      <w:r>
        <w:t>), fruit (apple, peach) and nut (walnut, hazelnut and peanut) allergy. We also sought to compare its diagnostic capacity with the ImmunoCAP ISAC 112 microarray (ISAC112) and ImmunoCAP. Finally, we aimed to perform a technical validation studying ALEX2´s repeatability, reproducibility and quantification capacity by employing linearity assessment.</w:t>
      </w:r>
    </w:p>
    <w:p w14:paraId="1E2ED8F7" w14:textId="77777777" w:rsidR="001C332B" w:rsidRDefault="008352E7">
      <w:pPr>
        <w:keepNext/>
        <w:keepLines/>
        <w:pBdr>
          <w:top w:val="nil"/>
          <w:left w:val="nil"/>
          <w:bottom w:val="nil"/>
          <w:right w:val="nil"/>
          <w:between w:val="nil"/>
        </w:pBdr>
        <w:spacing w:before="240" w:line="360" w:lineRule="auto"/>
        <w:jc w:val="both"/>
        <w:rPr>
          <w:b/>
          <w:color w:val="000000"/>
          <w:sz w:val="28"/>
          <w:szCs w:val="28"/>
        </w:rPr>
      </w:pPr>
      <w:r>
        <w:rPr>
          <w:b/>
          <w:color w:val="000000"/>
          <w:sz w:val="28"/>
          <w:szCs w:val="28"/>
        </w:rPr>
        <w:t>Materials and Methods</w:t>
      </w:r>
    </w:p>
    <w:p w14:paraId="0646495C" w14:textId="77777777" w:rsidR="001C332B" w:rsidRDefault="008352E7">
      <w:pPr>
        <w:spacing w:line="360" w:lineRule="auto"/>
        <w:jc w:val="both"/>
        <w:rPr>
          <w:i/>
        </w:rPr>
      </w:pPr>
      <w:r>
        <w:rPr>
          <w:i/>
        </w:rPr>
        <w:t>Patients</w:t>
      </w:r>
    </w:p>
    <w:p w14:paraId="517908CA" w14:textId="77777777" w:rsidR="001C332B" w:rsidRDefault="008352E7">
      <w:pPr>
        <w:spacing w:line="360" w:lineRule="auto"/>
        <w:jc w:val="both"/>
      </w:pPr>
      <w:r>
        <w:t xml:space="preserve">We included 169 subjects: 153 allergic patients to cypress, grass or olive pollen, </w:t>
      </w:r>
      <w:r>
        <w:rPr>
          <w:i/>
        </w:rPr>
        <w:t>D. pteronyssinus</w:t>
      </w:r>
      <w:r>
        <w:t xml:space="preserve">, </w:t>
      </w:r>
      <w:r>
        <w:rPr>
          <w:i/>
        </w:rPr>
        <w:t>A. alternata</w:t>
      </w:r>
      <w:r>
        <w:t xml:space="preserve"> and/or allergic to apple, peach, walnut, hazelnut and/or peanut, and 16 non-atopic controls. Most patients (77%) were selected from a previous multicentric study (Grant: PI 11/01634) which evaluated the diagnostic performance of the ISAC 112 (</w:t>
      </w:r>
      <w:proofErr w:type="spellStart"/>
      <w:r>
        <w:t>ThermoFisher</w:t>
      </w:r>
      <w:proofErr w:type="spellEnd"/>
      <w:r>
        <w:t xml:space="preserve"> Scientific) microarray in a sample from 14 hospitals from different areas in Spain</w:t>
      </w:r>
      <w:r>
        <w:rPr>
          <w:vertAlign w:val="superscript"/>
        </w:rPr>
        <w:t>1, 3, 11</w:t>
      </w:r>
      <w:r>
        <w:t>.</w:t>
      </w:r>
      <w:r>
        <w:rPr>
          <w:color w:val="000000"/>
          <w:vertAlign w:val="superscript"/>
        </w:rPr>
        <w:t xml:space="preserve"> </w:t>
      </w:r>
      <w:r>
        <w:t xml:space="preserve">New eligible patients were recruited at </w:t>
      </w:r>
      <w:proofErr w:type="spellStart"/>
      <w:r>
        <w:t>Clínica</w:t>
      </w:r>
      <w:proofErr w:type="spellEnd"/>
      <w:r>
        <w:t xml:space="preserve"> Universidad de Navarra in Pamplona, Navarra (Spain) for dust mite or nut allergy, and at Hospital Clinic in Barcelona (Spain) for Alternaria allergy. Inclusion/exclusion criteria are detailed in the supplement. The study protocol was approved by the Ethics Committee of the coordinating center (045/2011), and all participants provided written informed consent.</w:t>
      </w:r>
    </w:p>
    <w:p w14:paraId="2B531A55" w14:textId="77777777" w:rsidR="001C332B" w:rsidRDefault="001C332B">
      <w:pPr>
        <w:spacing w:line="360" w:lineRule="auto"/>
        <w:jc w:val="both"/>
      </w:pPr>
    </w:p>
    <w:p w14:paraId="2E25E667" w14:textId="77777777" w:rsidR="001C332B" w:rsidRDefault="008352E7">
      <w:pPr>
        <w:spacing w:line="360" w:lineRule="auto"/>
        <w:jc w:val="both"/>
        <w:rPr>
          <w:i/>
        </w:rPr>
      </w:pPr>
      <w:r>
        <w:rPr>
          <w:i/>
        </w:rPr>
        <w:t xml:space="preserve">Multiplex Specific </w:t>
      </w:r>
      <w:proofErr w:type="spellStart"/>
      <w:r>
        <w:rPr>
          <w:i/>
        </w:rPr>
        <w:t>IgE</w:t>
      </w:r>
      <w:proofErr w:type="spellEnd"/>
      <w:r>
        <w:rPr>
          <w:i/>
        </w:rPr>
        <w:t xml:space="preserve"> Assay </w:t>
      </w:r>
    </w:p>
    <w:p w14:paraId="7F04C7BE" w14:textId="77777777" w:rsidR="001C332B" w:rsidRDefault="008352E7" w:rsidP="008352E7">
      <w:pPr>
        <w:pBdr>
          <w:top w:val="nil"/>
          <w:left w:val="nil"/>
          <w:bottom w:val="nil"/>
          <w:right w:val="nil"/>
          <w:between w:val="nil"/>
        </w:pBdr>
        <w:spacing w:line="360" w:lineRule="auto"/>
        <w:jc w:val="both"/>
        <w:rPr>
          <w:color w:val="000000"/>
        </w:rPr>
      </w:pPr>
      <w:r>
        <w:rPr>
          <w:color w:val="000000"/>
        </w:rPr>
        <w:lastRenderedPageBreak/>
        <w:t xml:space="preserve">All sera were tested using ALEX2 (44 allergens) and ISAC112 (33 allergens) for the 10 </w:t>
      </w:r>
      <w:r>
        <w:t>sources evaluated (Table S1)</w:t>
      </w:r>
      <w:r>
        <w:rPr>
          <w:color w:val="000000"/>
        </w:rPr>
        <w:t xml:space="preserve">. </w:t>
      </w:r>
      <w:r>
        <w:rPr>
          <w:color w:val="000000"/>
        </w:rPr>
        <w:br/>
        <w:t xml:space="preserve">Total and </w:t>
      </w:r>
      <w:proofErr w:type="spellStart"/>
      <w:r>
        <w:rPr>
          <w:color w:val="000000"/>
        </w:rPr>
        <w:t>sIgE</w:t>
      </w:r>
      <w:proofErr w:type="spellEnd"/>
      <w:r>
        <w:rPr>
          <w:color w:val="000000"/>
        </w:rPr>
        <w:t xml:space="preserve"> against the described allergens w</w:t>
      </w:r>
      <w:r>
        <w:t>ere</w:t>
      </w:r>
      <w:r>
        <w:rPr>
          <w:color w:val="000000"/>
        </w:rPr>
        <w:t xml:space="preserve"> evaluated using </w:t>
      </w:r>
      <w:r>
        <w:t>the ALEX2</w:t>
      </w:r>
      <w:r>
        <w:rPr>
          <w:color w:val="000000"/>
        </w:rPr>
        <w:t xml:space="preserve"> platform </w:t>
      </w:r>
      <w:r>
        <w:t>according to</w:t>
      </w:r>
      <w:r>
        <w:rPr>
          <w:color w:val="000000"/>
        </w:rPr>
        <w:t xml:space="preserve"> </w:t>
      </w:r>
      <w:r>
        <w:t>manufacturer's</w:t>
      </w:r>
      <w:r>
        <w:rPr>
          <w:color w:val="000000"/>
        </w:rPr>
        <w:t xml:space="preserve"> </w:t>
      </w:r>
      <w:r>
        <w:t xml:space="preserve">instructions (detailed in supplement). The Raptor software (MacroArray Diagnostics, Vienna, Austria) calculates the levels of </w:t>
      </w:r>
      <w:proofErr w:type="spellStart"/>
      <w:r>
        <w:t>IgE</w:t>
      </w:r>
      <w:proofErr w:type="spellEnd"/>
      <w:r>
        <w:t xml:space="preserve"> based on the intensity of precipitated color in the membrane according to a calibration curve measured in </w:t>
      </w:r>
      <w:proofErr w:type="spellStart"/>
      <w:r w:rsidRPr="000B11F4">
        <w:t>kU</w:t>
      </w:r>
      <w:proofErr w:type="spellEnd"/>
      <w:r w:rsidRPr="000B11F4">
        <w:t>/L</w:t>
      </w:r>
      <w:r>
        <w:t xml:space="preserve"> for values between 0.30 and 50 </w:t>
      </w:r>
      <w:proofErr w:type="spellStart"/>
      <w:r>
        <w:t>kU</w:t>
      </w:r>
      <w:r>
        <w:rPr>
          <w:vertAlign w:val="subscript"/>
        </w:rPr>
        <w:t>A</w:t>
      </w:r>
      <w:proofErr w:type="spellEnd"/>
      <w:r>
        <w:t xml:space="preserve">/L. Total </w:t>
      </w:r>
      <w:proofErr w:type="spellStart"/>
      <w:r>
        <w:t>IgE</w:t>
      </w:r>
      <w:proofErr w:type="spellEnd"/>
      <w:r>
        <w:t xml:space="preserve"> is also measured for values between 20 and 2500 </w:t>
      </w:r>
      <w:proofErr w:type="spellStart"/>
      <w:r>
        <w:t>kU</w:t>
      </w:r>
      <w:proofErr w:type="spellEnd"/>
      <w:r>
        <w:t xml:space="preserve">/L. </w:t>
      </w:r>
      <w:r>
        <w:rPr>
          <w:color w:val="000000"/>
        </w:rPr>
        <w:t>Values o</w:t>
      </w:r>
      <w:r>
        <w:t xml:space="preserve">f </w:t>
      </w:r>
      <w:proofErr w:type="spellStart"/>
      <w:r>
        <w:t>sIgE</w:t>
      </w:r>
      <w:proofErr w:type="spellEnd"/>
      <w:r>
        <w:t xml:space="preserve"> </w:t>
      </w:r>
      <w:r>
        <w:rPr>
          <w:color w:val="000000"/>
        </w:rPr>
        <w:t xml:space="preserve">equal to or </w:t>
      </w:r>
      <w:r>
        <w:t xml:space="preserve">greater than </w:t>
      </w:r>
      <w:r>
        <w:rPr>
          <w:color w:val="000000"/>
        </w:rPr>
        <w:t xml:space="preserve">0.30 </w:t>
      </w:r>
      <w:proofErr w:type="spellStart"/>
      <w:r>
        <w:rPr>
          <w:color w:val="000000"/>
        </w:rPr>
        <w:t>kU</w:t>
      </w:r>
      <w:r>
        <w:rPr>
          <w:color w:val="000000"/>
          <w:vertAlign w:val="subscript"/>
        </w:rPr>
        <w:t>A</w:t>
      </w:r>
      <w:proofErr w:type="spellEnd"/>
      <w:r>
        <w:rPr>
          <w:color w:val="000000"/>
        </w:rPr>
        <w:t>/L were considered positive, following manufacturers’ instructions. For clinical validation, ALEX2</w:t>
      </w:r>
      <w:r>
        <w:t xml:space="preserve"> was performed using the automatic robot </w:t>
      </w:r>
      <w:proofErr w:type="spellStart"/>
      <w:r>
        <w:t>Madmax</w:t>
      </w:r>
      <w:proofErr w:type="spellEnd"/>
      <w:r>
        <w:t xml:space="preserve"> (</w:t>
      </w:r>
      <w:proofErr w:type="spellStart"/>
      <w:r>
        <w:t>MacroArray</w:t>
      </w:r>
      <w:proofErr w:type="spellEnd"/>
      <w:r>
        <w:t xml:space="preserve"> Diagnostics). </w:t>
      </w:r>
    </w:p>
    <w:p w14:paraId="756FCB6A" w14:textId="77777777" w:rsidR="001C332B" w:rsidRDefault="008352E7" w:rsidP="008352E7">
      <w:pPr>
        <w:pBdr>
          <w:top w:val="nil"/>
          <w:left w:val="nil"/>
          <w:bottom w:val="nil"/>
          <w:right w:val="nil"/>
          <w:between w:val="nil"/>
        </w:pBdr>
        <w:spacing w:line="360" w:lineRule="auto"/>
        <w:jc w:val="both"/>
      </w:pPr>
      <w:r>
        <w:rPr>
          <w:color w:val="000000"/>
        </w:rPr>
        <w:t xml:space="preserve">Specific </w:t>
      </w:r>
      <w:proofErr w:type="spellStart"/>
      <w:r>
        <w:rPr>
          <w:color w:val="000000"/>
        </w:rPr>
        <w:t>IgE</w:t>
      </w:r>
      <w:proofErr w:type="spellEnd"/>
      <w:r>
        <w:rPr>
          <w:color w:val="000000"/>
        </w:rPr>
        <w:t xml:space="preserve"> </w:t>
      </w:r>
      <w:r>
        <w:t>against the described allergens (Table S1) were</w:t>
      </w:r>
      <w:r>
        <w:rPr>
          <w:color w:val="000000"/>
        </w:rPr>
        <w:t xml:space="preserve"> measured in all patients </w:t>
      </w:r>
      <w:r>
        <w:t>using</w:t>
      </w:r>
      <w:r>
        <w:rPr>
          <w:color w:val="000000"/>
        </w:rPr>
        <w:t xml:space="preserve"> ISAC112 (</w:t>
      </w:r>
      <w:proofErr w:type="spellStart"/>
      <w:r>
        <w:rPr>
          <w:color w:val="000000"/>
        </w:rPr>
        <w:t>ThermoFisher</w:t>
      </w:r>
      <w:proofErr w:type="spellEnd"/>
      <w:r>
        <w:rPr>
          <w:color w:val="000000"/>
        </w:rPr>
        <w:t>, Uppsala, Sweden)</w:t>
      </w:r>
      <w:r>
        <w:t>, according to</w:t>
      </w:r>
      <w:r>
        <w:rPr>
          <w:color w:val="000000"/>
        </w:rPr>
        <w:t xml:space="preserve"> </w:t>
      </w:r>
      <w:r>
        <w:t>manufacturer's</w:t>
      </w:r>
      <w:r>
        <w:rPr>
          <w:color w:val="000000"/>
        </w:rPr>
        <w:t xml:space="preserve"> </w:t>
      </w:r>
      <w:r>
        <w:t>instructions (detailed in supplement)</w:t>
      </w:r>
      <w:r>
        <w:rPr>
          <w:color w:val="000000"/>
        </w:rPr>
        <w:t xml:space="preserve">. </w:t>
      </w:r>
      <w:r>
        <w:t xml:space="preserve">Specific </w:t>
      </w:r>
      <w:proofErr w:type="spellStart"/>
      <w:r>
        <w:t>IgE</w:t>
      </w:r>
      <w:proofErr w:type="spellEnd"/>
      <w:r>
        <w:t xml:space="preserve"> values are expressed </w:t>
      </w:r>
      <w:proofErr w:type="spellStart"/>
      <w:r>
        <w:t>semiquantitatively</w:t>
      </w:r>
      <w:proofErr w:type="spellEnd"/>
      <w:r>
        <w:t xml:space="preserve"> as ISAC Standard Units (ISU). Results equal to or greater than 0.30 ISU were considered positive, as per manufacturer's instructions.</w:t>
      </w:r>
    </w:p>
    <w:p w14:paraId="5CDBAA66" w14:textId="77777777" w:rsidR="001C332B" w:rsidRDefault="001C332B" w:rsidP="008352E7">
      <w:pPr>
        <w:spacing w:line="360" w:lineRule="auto"/>
        <w:jc w:val="both"/>
      </w:pPr>
    </w:p>
    <w:p w14:paraId="722505DC" w14:textId="77777777" w:rsidR="001C332B" w:rsidRDefault="008352E7" w:rsidP="008352E7">
      <w:pPr>
        <w:spacing w:line="360" w:lineRule="auto"/>
        <w:jc w:val="both"/>
      </w:pPr>
      <w:proofErr w:type="spellStart"/>
      <w:r>
        <w:rPr>
          <w:i/>
        </w:rPr>
        <w:t>Singleplex</w:t>
      </w:r>
      <w:proofErr w:type="spellEnd"/>
      <w:r>
        <w:rPr>
          <w:i/>
        </w:rPr>
        <w:t xml:space="preserve"> Specific </w:t>
      </w:r>
      <w:proofErr w:type="spellStart"/>
      <w:r>
        <w:rPr>
          <w:i/>
        </w:rPr>
        <w:t>IgE</w:t>
      </w:r>
      <w:proofErr w:type="spellEnd"/>
      <w:r>
        <w:rPr>
          <w:i/>
        </w:rPr>
        <w:t xml:space="preserve"> Assay </w:t>
      </w:r>
    </w:p>
    <w:p w14:paraId="115EBDF7" w14:textId="77777777" w:rsidR="001C332B" w:rsidRDefault="008352E7" w:rsidP="008352E7">
      <w:pPr>
        <w:spacing w:line="360" w:lineRule="auto"/>
        <w:jc w:val="both"/>
      </w:pPr>
      <w:r>
        <w:t xml:space="preserve">For each evaluated biological source and for both cases and controls, </w:t>
      </w:r>
      <w:proofErr w:type="spellStart"/>
      <w:r>
        <w:t>sIgE</w:t>
      </w:r>
      <w:proofErr w:type="spellEnd"/>
      <w:r>
        <w:t xml:space="preserve"> levels to the whole extract and to the major allergen components in our area (Table S1) were determined by fluorescence enzyme immunoassay (FEIA) (ImmunoCAP, </w:t>
      </w:r>
      <w:proofErr w:type="spellStart"/>
      <w:r>
        <w:t>ThermoFisher</w:t>
      </w:r>
      <w:proofErr w:type="spellEnd"/>
      <w:r>
        <w:t xml:space="preserve">). Cup a 1 was detected to be the major allergen of </w:t>
      </w:r>
      <w:r>
        <w:rPr>
          <w:i/>
        </w:rPr>
        <w:t xml:space="preserve">Cupressus </w:t>
      </w:r>
      <w:proofErr w:type="spellStart"/>
      <w:r>
        <w:rPr>
          <w:i/>
        </w:rPr>
        <w:t>arizonica</w:t>
      </w:r>
      <w:proofErr w:type="spellEnd"/>
      <w:r>
        <w:t xml:space="preserve">, as were </w:t>
      </w:r>
      <w:proofErr w:type="spellStart"/>
      <w:r>
        <w:t>Phl</w:t>
      </w:r>
      <w:proofErr w:type="spellEnd"/>
      <w:r>
        <w:t xml:space="preserve"> p 1, Ole e 1, Der p 1 and Der p 2, Alt a 1, Mal d 3, </w:t>
      </w:r>
      <w:proofErr w:type="spellStart"/>
      <w:r>
        <w:t>Pru</w:t>
      </w:r>
      <w:proofErr w:type="spellEnd"/>
      <w:r>
        <w:t xml:space="preserve"> p 3, Jug r 3, Cor </w:t>
      </w:r>
      <w:proofErr w:type="gramStart"/>
      <w:r>
        <w:t>a</w:t>
      </w:r>
      <w:proofErr w:type="gramEnd"/>
      <w:r>
        <w:t xml:space="preserve"> 8 and Ara h 9 as major allergens of </w:t>
      </w:r>
      <w:r>
        <w:rPr>
          <w:i/>
        </w:rPr>
        <w:t>Phleum pratense,</w:t>
      </w:r>
      <w:r>
        <w:t xml:space="preserve"> </w:t>
      </w:r>
      <w:r>
        <w:rPr>
          <w:i/>
        </w:rPr>
        <w:t xml:space="preserve">Olea </w:t>
      </w:r>
      <w:proofErr w:type="spellStart"/>
      <w:r>
        <w:rPr>
          <w:i/>
        </w:rPr>
        <w:t>europea</w:t>
      </w:r>
      <w:proofErr w:type="spellEnd"/>
      <w:r>
        <w:t xml:space="preserve">, </w:t>
      </w:r>
      <w:r>
        <w:rPr>
          <w:i/>
        </w:rPr>
        <w:t>D. pteronyssinus</w:t>
      </w:r>
      <w:r>
        <w:t xml:space="preserve">, </w:t>
      </w:r>
      <w:r>
        <w:rPr>
          <w:i/>
        </w:rPr>
        <w:t>A. alternata</w:t>
      </w:r>
      <w:r>
        <w:t>, apple, peach, walnut, hazelnut and peanut respectively (based on previous studies</w:t>
      </w:r>
      <w:r>
        <w:rPr>
          <w:vertAlign w:val="superscript"/>
        </w:rPr>
        <w:t>1, 3</w:t>
      </w:r>
      <w:r>
        <w:t>).</w:t>
      </w:r>
      <w:r>
        <w:rPr>
          <w:vertAlign w:val="superscript"/>
        </w:rPr>
        <w:t xml:space="preserve"> </w:t>
      </w:r>
      <w:r>
        <w:t xml:space="preserve">In addition, Der p 23 was measured for </w:t>
      </w:r>
      <w:r>
        <w:rPr>
          <w:i/>
        </w:rPr>
        <w:t>D. pteronyssinus</w:t>
      </w:r>
      <w:r>
        <w:t xml:space="preserve"> cases and controls. Specific </w:t>
      </w:r>
      <w:proofErr w:type="spellStart"/>
      <w:r>
        <w:t>IgE</w:t>
      </w:r>
      <w:proofErr w:type="spellEnd"/>
      <w:r>
        <w:t xml:space="preserve"> values equal to or higher than 0.35 </w:t>
      </w:r>
      <w:proofErr w:type="spellStart"/>
      <w:r>
        <w:t>kU</w:t>
      </w:r>
      <w:r>
        <w:rPr>
          <w:vertAlign w:val="subscript"/>
        </w:rPr>
        <w:t>A</w:t>
      </w:r>
      <w:proofErr w:type="spellEnd"/>
      <w:r>
        <w:t xml:space="preserve">/L by FEIA were considered positive. </w:t>
      </w:r>
    </w:p>
    <w:p w14:paraId="7AAA55B7" w14:textId="77777777" w:rsidR="001C332B" w:rsidRDefault="001C332B" w:rsidP="008352E7">
      <w:pPr>
        <w:spacing w:line="360" w:lineRule="auto"/>
        <w:jc w:val="both"/>
      </w:pPr>
    </w:p>
    <w:p w14:paraId="73A73507" w14:textId="77777777" w:rsidR="001C332B" w:rsidRDefault="008352E7" w:rsidP="008352E7">
      <w:pPr>
        <w:spacing w:line="360" w:lineRule="auto"/>
        <w:jc w:val="both"/>
      </w:pPr>
      <w:r>
        <w:rPr>
          <w:i/>
        </w:rPr>
        <w:t>Technical validation</w:t>
      </w:r>
    </w:p>
    <w:p w14:paraId="70AA4EF1" w14:textId="77777777" w:rsidR="001C332B" w:rsidRDefault="008352E7" w:rsidP="008352E7">
      <w:pPr>
        <w:spacing w:line="360" w:lineRule="auto"/>
        <w:jc w:val="both"/>
      </w:pPr>
      <w:r>
        <w:t>Repeata</w:t>
      </w:r>
      <w:r w:rsidR="004A342B">
        <w:t>bility was assessed using intra-</w:t>
      </w:r>
      <w:r>
        <w:t>assay analysis, and reproduci</w:t>
      </w:r>
      <w:r w:rsidR="004A342B">
        <w:t>bility was assessed using inter-assay, inter-batch and inter-</w:t>
      </w:r>
      <w:r>
        <w:t xml:space="preserve">laboratory analysis for the 44 evaluated allergens (Table S1). ALEX2 repeatability was tested by analyzing a pool of sera in 10 measurements performed in the same assay, with the same ALEX2 kit (same batch), in one laboratory. Reproducibility of the platform was </w:t>
      </w:r>
      <w:r w:rsidR="004A342B">
        <w:t>assessed by analyzing the inter-</w:t>
      </w:r>
      <w:r>
        <w:t xml:space="preserve">assay </w:t>
      </w:r>
      <w:proofErr w:type="spellStart"/>
      <w:r>
        <w:t>sIgE</w:t>
      </w:r>
      <w:proofErr w:type="spellEnd"/>
      <w:r>
        <w:t xml:space="preserve"> variability from 10 samples (9 individual sera and the pool), and by repeating the ALEX2 technique in 5 different days, using chips from the same production batch</w:t>
      </w:r>
      <w:r w:rsidR="004A342B">
        <w:t>, in the same laboratory. Inter-</w:t>
      </w:r>
      <w:r>
        <w:t xml:space="preserve">batch reproducibility was also evaluated by analyzing </w:t>
      </w:r>
      <w:proofErr w:type="spellStart"/>
      <w:r>
        <w:t>sIgE</w:t>
      </w:r>
      <w:proofErr w:type="spellEnd"/>
      <w:r>
        <w:t xml:space="preserve"> levels from the 10 samples using two different chips and reagents from different pro</w:t>
      </w:r>
      <w:r w:rsidR="004A342B">
        <w:t>duction batches. Finally, inter-</w:t>
      </w:r>
      <w:r>
        <w:t xml:space="preserve">laboratory reproducibility was studied by analyzing the levels of </w:t>
      </w:r>
      <w:proofErr w:type="spellStart"/>
      <w:r>
        <w:t>sIgE</w:t>
      </w:r>
      <w:proofErr w:type="spellEnd"/>
      <w:r>
        <w:t xml:space="preserve"> obtained </w:t>
      </w:r>
      <w:r>
        <w:lastRenderedPageBreak/>
        <w:t xml:space="preserve">from the 10 samples using chips from the same batch (reagents from different batches) analyzed in two different laboratories: </w:t>
      </w:r>
      <w:proofErr w:type="spellStart"/>
      <w:r>
        <w:t>Clínica</w:t>
      </w:r>
      <w:proofErr w:type="spellEnd"/>
      <w:r>
        <w:t xml:space="preserve"> Universidad de Navarra (Pamplona, Spain) and Hospital </w:t>
      </w:r>
      <w:proofErr w:type="spellStart"/>
      <w:r>
        <w:t>Clínic</w:t>
      </w:r>
      <w:proofErr w:type="spellEnd"/>
      <w:r>
        <w:t xml:space="preserve"> (Barcelona, Spain). The reading of the chips was performed in each laboratory according to manufacturer's instructions.</w:t>
      </w:r>
    </w:p>
    <w:p w14:paraId="50A36810" w14:textId="77777777" w:rsidR="001C332B" w:rsidRDefault="008352E7">
      <w:pPr>
        <w:spacing w:line="360" w:lineRule="auto"/>
        <w:jc w:val="both"/>
      </w:pPr>
      <w:r>
        <w:t xml:space="preserve">To explore ALEX2’s quantitative </w:t>
      </w:r>
      <w:proofErr w:type="spellStart"/>
      <w:r>
        <w:t>sIgE</w:t>
      </w:r>
      <w:proofErr w:type="spellEnd"/>
      <w:r>
        <w:t xml:space="preserve"> determination capacity, serial dilutions of several sera were analyzed. ALEX2 test was performed on the same day, using the same batch in the same laboratory, using the pool of sera and 3 sera as described: concentrated, 1:2, 1:5 and 1:10, diluted in water. ALEX2 technique was performed manually for technical validation and blocking cross-reactive carbohydrate determinants (CCDs) interference according to manufacturer's instructions.</w:t>
      </w:r>
    </w:p>
    <w:p w14:paraId="27DC1909" w14:textId="77777777" w:rsidR="001C332B" w:rsidRDefault="001C332B">
      <w:pPr>
        <w:spacing w:line="360" w:lineRule="auto"/>
        <w:jc w:val="both"/>
      </w:pPr>
    </w:p>
    <w:p w14:paraId="41B94556" w14:textId="77777777" w:rsidR="001C332B" w:rsidRDefault="008352E7">
      <w:pPr>
        <w:spacing w:line="360" w:lineRule="auto"/>
        <w:jc w:val="both"/>
        <w:rPr>
          <w:i/>
        </w:rPr>
      </w:pPr>
      <w:r>
        <w:rPr>
          <w:i/>
        </w:rPr>
        <w:t xml:space="preserve">Statistical Analysis </w:t>
      </w:r>
    </w:p>
    <w:p w14:paraId="7BA5D0A0" w14:textId="77777777" w:rsidR="001C332B" w:rsidRDefault="008352E7">
      <w:pPr>
        <w:spacing w:line="360" w:lineRule="auto"/>
        <w:jc w:val="both"/>
        <w:rPr>
          <w:highlight w:val="yellow"/>
        </w:rPr>
      </w:pPr>
      <w:r>
        <w:t>Statistical analysis performed are described in the online supplement.</w:t>
      </w:r>
    </w:p>
    <w:p w14:paraId="234188E8" w14:textId="77777777" w:rsidR="001C332B" w:rsidRDefault="008352E7">
      <w:pPr>
        <w:keepNext/>
        <w:keepLines/>
        <w:pBdr>
          <w:top w:val="nil"/>
          <w:left w:val="nil"/>
          <w:bottom w:val="nil"/>
          <w:right w:val="nil"/>
          <w:between w:val="nil"/>
        </w:pBdr>
        <w:spacing w:before="240" w:line="360" w:lineRule="auto"/>
        <w:jc w:val="both"/>
        <w:rPr>
          <w:b/>
          <w:color w:val="000000"/>
          <w:sz w:val="28"/>
          <w:szCs w:val="28"/>
        </w:rPr>
      </w:pPr>
      <w:r>
        <w:rPr>
          <w:b/>
          <w:color w:val="000000"/>
          <w:sz w:val="28"/>
          <w:szCs w:val="28"/>
        </w:rPr>
        <w:t xml:space="preserve">Results </w:t>
      </w:r>
    </w:p>
    <w:p w14:paraId="242DECA6" w14:textId="77777777" w:rsidR="001C332B" w:rsidRDefault="008352E7">
      <w:pPr>
        <w:spacing w:line="360" w:lineRule="auto"/>
        <w:jc w:val="both"/>
        <w:rPr>
          <w:i/>
        </w:rPr>
      </w:pPr>
      <w:r>
        <w:rPr>
          <w:i/>
        </w:rPr>
        <w:t>Patient characteristics</w:t>
      </w:r>
    </w:p>
    <w:p w14:paraId="10DC50E8" w14:textId="77777777" w:rsidR="001C332B" w:rsidRDefault="008352E7">
      <w:pPr>
        <w:spacing w:line="360" w:lineRule="auto"/>
        <w:jc w:val="both"/>
        <w:rPr>
          <w:color w:val="000000"/>
        </w:rPr>
      </w:pPr>
      <w:r>
        <w:t>From 153 allergic patients and 16 nonatopic controls, cases and controls were selected for each allergen employing</w:t>
      </w:r>
      <w:r>
        <w:rPr>
          <w:color w:val="000000"/>
        </w:rPr>
        <w:t xml:space="preserve"> the specified criteria. Thus, for the aeroallergen diagnostic performance analysis of the microarray, we included 28 cases and 26 controls (50% non-atopic) for cypress pollen, 29 cases and 27 controls (48% non-atopic) f</w:t>
      </w:r>
      <w:r>
        <w:t>or grass pollen</w:t>
      </w:r>
      <w:r>
        <w:rPr>
          <w:color w:val="000000"/>
        </w:rPr>
        <w:t>, 27 cases and 31 controls (5</w:t>
      </w:r>
      <w:r>
        <w:t>2</w:t>
      </w:r>
      <w:r>
        <w:rPr>
          <w:color w:val="000000"/>
        </w:rPr>
        <w:t>% non-atopic) f</w:t>
      </w:r>
      <w:r>
        <w:t>or olive pollen</w:t>
      </w:r>
      <w:r>
        <w:rPr>
          <w:color w:val="000000"/>
        </w:rPr>
        <w:t>, 20 cases and 22 controls (59% non-atopic) f</w:t>
      </w:r>
      <w:r>
        <w:t xml:space="preserve">or </w:t>
      </w:r>
      <w:r>
        <w:rPr>
          <w:i/>
        </w:rPr>
        <w:t>D. pteronyssinus,</w:t>
      </w:r>
      <w:r>
        <w:t xml:space="preserve"> and</w:t>
      </w:r>
      <w:r>
        <w:rPr>
          <w:color w:val="000000"/>
        </w:rPr>
        <w:t xml:space="preserve"> </w:t>
      </w:r>
      <w:r>
        <w:t>18 cases and 22 controls (45% non-atopic)</w:t>
      </w:r>
      <w:r>
        <w:rPr>
          <w:color w:val="000000"/>
        </w:rPr>
        <w:t xml:space="preserve"> </w:t>
      </w:r>
      <w:r>
        <w:t xml:space="preserve">for </w:t>
      </w:r>
      <w:r>
        <w:rPr>
          <w:i/>
        </w:rPr>
        <w:t>A. alternata</w:t>
      </w:r>
      <w:r>
        <w:rPr>
          <w:color w:val="000000"/>
        </w:rPr>
        <w:t>. For food allergens, apple was represented by 15 cases, peach by 3</w:t>
      </w:r>
      <w:r>
        <w:t>4</w:t>
      </w:r>
      <w:r>
        <w:rPr>
          <w:color w:val="000000"/>
        </w:rPr>
        <w:t xml:space="preserve">, </w:t>
      </w:r>
      <w:r>
        <w:t xml:space="preserve">walnut by 28, </w:t>
      </w:r>
      <w:r>
        <w:rPr>
          <w:color w:val="000000"/>
        </w:rPr>
        <w:t>hazelnut by 20</w:t>
      </w:r>
      <w:r>
        <w:t xml:space="preserve"> and</w:t>
      </w:r>
      <w:r>
        <w:rPr>
          <w:color w:val="000000"/>
        </w:rPr>
        <w:t xml:space="preserve"> peanut by 19 cases, together with 23 controls (69.6% non-atopic). Table </w:t>
      </w:r>
      <w:r>
        <w:t>2S</w:t>
      </w:r>
      <w:r>
        <w:rPr>
          <w:color w:val="000000"/>
        </w:rPr>
        <w:t xml:space="preserve"> sets out the clinical and demographic data of the individuals included in the study, grouped into cases and </w:t>
      </w:r>
      <w:r>
        <w:t>controls</w:t>
      </w:r>
      <w:r>
        <w:rPr>
          <w:color w:val="000000"/>
        </w:rPr>
        <w:t xml:space="preserve"> </w:t>
      </w:r>
      <w:r>
        <w:t xml:space="preserve">for allergy diagnosis to </w:t>
      </w:r>
      <w:r>
        <w:rPr>
          <w:color w:val="000000"/>
        </w:rPr>
        <w:t xml:space="preserve">respiratory (Table </w:t>
      </w:r>
      <w:r>
        <w:t>S2</w:t>
      </w:r>
      <w:r>
        <w:rPr>
          <w:color w:val="000000"/>
        </w:rPr>
        <w:t>A) and food allergens (</w:t>
      </w:r>
      <w:r>
        <w:t>Table S2B)</w:t>
      </w:r>
      <w:r>
        <w:rPr>
          <w:color w:val="000000"/>
        </w:rPr>
        <w:t xml:space="preserve">. </w:t>
      </w:r>
    </w:p>
    <w:p w14:paraId="6F189B63" w14:textId="77777777" w:rsidR="001C332B" w:rsidRDefault="001C332B">
      <w:pPr>
        <w:spacing w:line="360" w:lineRule="auto"/>
        <w:jc w:val="both"/>
      </w:pPr>
    </w:p>
    <w:p w14:paraId="1E0E0D44" w14:textId="77777777" w:rsidR="001C332B" w:rsidRDefault="008352E7">
      <w:pPr>
        <w:spacing w:line="360" w:lineRule="auto"/>
        <w:rPr>
          <w:i/>
        </w:rPr>
      </w:pPr>
      <w:r>
        <w:rPr>
          <w:i/>
        </w:rPr>
        <w:t>Global diagnostic performance of the ALEX2 microarray is adequate for the majority of the studied allergens</w:t>
      </w:r>
    </w:p>
    <w:p w14:paraId="1C1FBD8D" w14:textId="77777777" w:rsidR="001C332B" w:rsidRDefault="008352E7">
      <w:pPr>
        <w:spacing w:line="360" w:lineRule="auto"/>
        <w:jc w:val="both"/>
        <w:rPr>
          <w:color w:val="000000"/>
          <w:highlight w:val="yellow"/>
        </w:rPr>
      </w:pPr>
      <w:r>
        <w:rPr>
          <w:color w:val="000000"/>
        </w:rPr>
        <w:t>When considering positivity of one or all components representi</w:t>
      </w:r>
      <w:r>
        <w:t>ng</w:t>
      </w:r>
      <w:r>
        <w:rPr>
          <w:color w:val="000000"/>
        </w:rPr>
        <w:t xml:space="preserve"> the evaluated biological source as d</w:t>
      </w:r>
      <w:r>
        <w:t>iagnostic</w:t>
      </w:r>
      <w:r>
        <w:rPr>
          <w:color w:val="000000"/>
        </w:rPr>
        <w:t xml:space="preserve"> of allergy,</w:t>
      </w:r>
      <w:r>
        <w:t xml:space="preserve"> </w:t>
      </w:r>
      <w:r>
        <w:rPr>
          <w:color w:val="000000"/>
        </w:rPr>
        <w:t xml:space="preserve">ALEX2 yielded good performance for cypress pollen, grass, </w:t>
      </w:r>
      <w:r>
        <w:rPr>
          <w:i/>
        </w:rPr>
        <w:t>D. pteronyssinus</w:t>
      </w:r>
      <w:r>
        <w:t xml:space="preserve">, </w:t>
      </w:r>
      <w:r>
        <w:rPr>
          <w:i/>
          <w:color w:val="000000"/>
        </w:rPr>
        <w:t>A. alternata</w:t>
      </w:r>
      <w:r>
        <w:rPr>
          <w:color w:val="000000"/>
        </w:rPr>
        <w:t xml:space="preserve">, apple, peach, hazelnut and peanut. </w:t>
      </w:r>
      <w:r>
        <w:t>Improvable</w:t>
      </w:r>
      <w:r>
        <w:rPr>
          <w:color w:val="000000"/>
        </w:rPr>
        <w:t xml:space="preserve"> </w:t>
      </w:r>
      <w:r>
        <w:t>sensitivity (Se)</w:t>
      </w:r>
      <w:r>
        <w:rPr>
          <w:color w:val="000000"/>
        </w:rPr>
        <w:t xml:space="preserve"> was observed for olive pollen and walnut allergy </w:t>
      </w:r>
      <w:r>
        <w:t>(Table I)</w:t>
      </w:r>
      <w:r>
        <w:rPr>
          <w:color w:val="000000"/>
        </w:rPr>
        <w:t>. Olive pollen’s Se was increased when Fra e 1, the major allergen of the O</w:t>
      </w:r>
      <w:r>
        <w:t>leaceae</w:t>
      </w:r>
      <w:r>
        <w:rPr>
          <w:color w:val="000000"/>
        </w:rPr>
        <w:t xml:space="preserve"> ash pollen, was considered in the calculations</w:t>
      </w:r>
      <w:r>
        <w:t xml:space="preserve"> (</w:t>
      </w:r>
      <w:proofErr w:type="spellStart"/>
      <w:r>
        <w:t>Se</w:t>
      </w:r>
      <w:proofErr w:type="spellEnd"/>
      <w:r>
        <w:t>: 77.8%, specificity (</w:t>
      </w:r>
      <w:proofErr w:type="spellStart"/>
      <w:r>
        <w:t>Sp</w:t>
      </w:r>
      <w:proofErr w:type="spellEnd"/>
      <w:r>
        <w:t>): 93.5%)</w:t>
      </w:r>
      <w:r>
        <w:rPr>
          <w:color w:val="000000"/>
        </w:rPr>
        <w:t xml:space="preserve">. </w:t>
      </w:r>
      <w:r>
        <w:t xml:space="preserve">In fact, higher levels of </w:t>
      </w:r>
      <w:proofErr w:type="spellStart"/>
      <w:r>
        <w:t>sIgE</w:t>
      </w:r>
      <w:proofErr w:type="spellEnd"/>
      <w:r>
        <w:t xml:space="preserve"> to Fra e 1 [3.07 (0.48-19.23) </w:t>
      </w:r>
      <w:proofErr w:type="spellStart"/>
      <w:r>
        <w:t>kU</w:t>
      </w:r>
      <w:r>
        <w:rPr>
          <w:vertAlign w:val="subscript"/>
        </w:rPr>
        <w:t>A</w:t>
      </w:r>
      <w:proofErr w:type="spellEnd"/>
      <w:r>
        <w:t xml:space="preserve">/L] than for Ole e 1 [0.76 (0-5.47) </w:t>
      </w:r>
      <w:proofErr w:type="spellStart"/>
      <w:r>
        <w:lastRenderedPageBreak/>
        <w:t>kU</w:t>
      </w:r>
      <w:r>
        <w:rPr>
          <w:vertAlign w:val="subscript"/>
        </w:rPr>
        <w:t>A</w:t>
      </w:r>
      <w:proofErr w:type="spellEnd"/>
      <w:r>
        <w:t xml:space="preserve">/L] were observed in olive pollen cases (Wilcoxon test </w:t>
      </w:r>
      <w:r>
        <w:rPr>
          <w:i/>
        </w:rPr>
        <w:t>P</w:t>
      </w:r>
      <w:r>
        <w:t xml:space="preserve">&lt;0.001) by ALEX2, with 81.5% of olive allergic patients being from areas without ash pollen relevant levels. </w:t>
      </w:r>
    </w:p>
    <w:p w14:paraId="08B78785" w14:textId="77777777" w:rsidR="001C332B" w:rsidRDefault="001C332B">
      <w:pPr>
        <w:spacing w:line="360" w:lineRule="auto"/>
        <w:jc w:val="both"/>
      </w:pPr>
    </w:p>
    <w:p w14:paraId="03D69CC3" w14:textId="77777777" w:rsidR="001C332B" w:rsidRDefault="008352E7">
      <w:pPr>
        <w:spacing w:line="360" w:lineRule="auto"/>
        <w:rPr>
          <w:i/>
        </w:rPr>
      </w:pPr>
      <w:r>
        <w:rPr>
          <w:i/>
        </w:rPr>
        <w:t>Diagnostic performance of the ALEX2 microarray is quite similar to ISAC microarray for the evaluated allergens</w:t>
      </w:r>
    </w:p>
    <w:p w14:paraId="5B489518" w14:textId="77777777" w:rsidR="001C332B" w:rsidRDefault="008352E7">
      <w:pPr>
        <w:spacing w:line="360" w:lineRule="auto"/>
        <w:jc w:val="both"/>
        <w:rPr>
          <w:color w:val="000000"/>
        </w:rPr>
      </w:pPr>
      <w:r>
        <w:t>Component-based sensitization profiles in cases and controls were also assessed using the ISAC112 multiplex platform for the selected allergens (Table II). ALEX2’s global</w:t>
      </w:r>
      <w:r>
        <w:rPr>
          <w:color w:val="000000"/>
        </w:rPr>
        <w:t xml:space="preserve"> diagnostic capacity was compared to that observed for ISAC112, considering the </w:t>
      </w:r>
      <w:r>
        <w:t>components</w:t>
      </w:r>
      <w:r>
        <w:rPr>
          <w:color w:val="000000"/>
        </w:rPr>
        <w:t xml:space="preserve"> </w:t>
      </w:r>
      <w:r>
        <w:t xml:space="preserve">present there for the same evaluated biological sources. </w:t>
      </w:r>
      <w:r w:rsidR="00C0056E">
        <w:t>Sensitivity</w:t>
      </w:r>
      <w:r>
        <w:t xml:space="preserve"> and specificity for both platforms is presented in table I. </w:t>
      </w:r>
      <w:r>
        <w:rPr>
          <w:color w:val="000000"/>
        </w:rPr>
        <w:t xml:space="preserve">ISAC112 showed comparable performance to ALEX2 for cypress pollen, grass pollen, </w:t>
      </w:r>
      <w:r>
        <w:rPr>
          <w:i/>
        </w:rPr>
        <w:t>D. pteronyssinus</w:t>
      </w:r>
      <w:r>
        <w:t xml:space="preserve">, </w:t>
      </w:r>
      <w:r>
        <w:rPr>
          <w:color w:val="000000"/>
        </w:rPr>
        <w:t xml:space="preserve">peach, </w:t>
      </w:r>
      <w:proofErr w:type="gramStart"/>
      <w:r>
        <w:rPr>
          <w:color w:val="000000"/>
        </w:rPr>
        <w:t>hazelnut</w:t>
      </w:r>
      <w:proofErr w:type="gramEnd"/>
      <w:r>
        <w:rPr>
          <w:color w:val="000000"/>
        </w:rPr>
        <w:t xml:space="preserve"> and peanut allerg</w:t>
      </w:r>
      <w:r>
        <w:t>y detection</w:t>
      </w:r>
      <w:r>
        <w:rPr>
          <w:color w:val="000000"/>
        </w:rPr>
        <w:t xml:space="preserve">. ISAC112 </w:t>
      </w:r>
      <w:r>
        <w:t xml:space="preserve">Se </w:t>
      </w:r>
      <w:r>
        <w:rPr>
          <w:color w:val="000000"/>
        </w:rPr>
        <w:t xml:space="preserve">showed to be </w:t>
      </w:r>
      <w:r>
        <w:t>higher</w:t>
      </w:r>
      <w:r>
        <w:rPr>
          <w:color w:val="000000"/>
        </w:rPr>
        <w:t xml:space="preserve"> for the detection of olive pollen and walnut allergies,</w:t>
      </w:r>
      <w:r>
        <w:t xml:space="preserve"> while it</w:t>
      </w:r>
      <w:r>
        <w:rPr>
          <w:color w:val="000000"/>
        </w:rPr>
        <w:t xml:space="preserve"> </w:t>
      </w:r>
      <w:r>
        <w:t>was</w:t>
      </w:r>
      <w:r>
        <w:rPr>
          <w:color w:val="000000"/>
        </w:rPr>
        <w:t xml:space="preserve"> significantly lower </w:t>
      </w:r>
      <w:r>
        <w:t>for</w:t>
      </w:r>
      <w:r>
        <w:rPr>
          <w:color w:val="000000"/>
        </w:rPr>
        <w:t xml:space="preserve"> the detection of Alternaria and </w:t>
      </w:r>
      <w:r>
        <w:t>a</w:t>
      </w:r>
      <w:r>
        <w:rPr>
          <w:color w:val="000000"/>
        </w:rPr>
        <w:t xml:space="preserve">pple </w:t>
      </w:r>
      <w:r>
        <w:t>allergies</w:t>
      </w:r>
      <w:r>
        <w:rPr>
          <w:color w:val="000000"/>
        </w:rPr>
        <w:t xml:space="preserve">. </w:t>
      </w:r>
    </w:p>
    <w:p w14:paraId="0A8C92AA" w14:textId="77777777" w:rsidR="001C332B" w:rsidRDefault="008352E7">
      <w:pPr>
        <w:spacing w:line="360" w:lineRule="auto"/>
        <w:jc w:val="both"/>
      </w:pPr>
      <w:r>
        <w:t>When analyzing data on a component-by-component basis for those elements common to both the ALEX2 and ISAC112 platforms, ALEX2 showed a similar diagnostic performance compared to ISAC112 in all of them except for Ole e 1, Alt a 1 and the under-research allergen Ole e 7; Jug r 3 tended to show a worse performance by ALEX2 than by ISAC112 but differences did not reach statistical significance. Comparative data are shown in table II.</w:t>
      </w:r>
    </w:p>
    <w:p w14:paraId="4DE3282C" w14:textId="77777777" w:rsidR="001C332B" w:rsidRDefault="001C332B">
      <w:pPr>
        <w:spacing w:line="360" w:lineRule="auto"/>
      </w:pPr>
    </w:p>
    <w:p w14:paraId="1E890477" w14:textId="77777777" w:rsidR="001C332B" w:rsidRDefault="008352E7">
      <w:pPr>
        <w:spacing w:line="360" w:lineRule="auto"/>
      </w:pPr>
      <w:r>
        <w:rPr>
          <w:i/>
        </w:rPr>
        <w:t>Diagnostic performance of ALEX2 microarray is quite similar to ImmunoCAP for whole extract/components of the evaluated allergens</w:t>
      </w:r>
    </w:p>
    <w:p w14:paraId="097D12F7" w14:textId="77777777" w:rsidR="001C332B" w:rsidRDefault="008352E7">
      <w:pPr>
        <w:spacing w:line="360" w:lineRule="auto"/>
        <w:jc w:val="both"/>
        <w:rPr>
          <w:color w:val="000000"/>
        </w:rPr>
      </w:pPr>
      <w:proofErr w:type="spellStart"/>
      <w:r>
        <w:t>sIgE</w:t>
      </w:r>
      <w:proofErr w:type="spellEnd"/>
      <w:r>
        <w:t xml:space="preserve"> to whole extracts and to major allergens of the evaluated allergenic sources was also measured using the </w:t>
      </w:r>
      <w:proofErr w:type="spellStart"/>
      <w:r>
        <w:t>singleplex</w:t>
      </w:r>
      <w:proofErr w:type="spellEnd"/>
      <w:r>
        <w:t xml:space="preserve"> ImmunoCAP. ALEX2’s overall diagnostic capacity was compared to that shown for the selected </w:t>
      </w:r>
      <w:r w:rsidR="00C0056E">
        <w:t>sources</w:t>
      </w:r>
      <w:r>
        <w:t xml:space="preserve"> whole extracts by ImmunoCAP (</w:t>
      </w:r>
      <w:r w:rsidR="00C0056E">
        <w:t>Table</w:t>
      </w:r>
      <w:r>
        <w:t xml:space="preserve"> II). S</w:t>
      </w:r>
      <w:r>
        <w:rPr>
          <w:color w:val="000000"/>
        </w:rPr>
        <w:t xml:space="preserve">imilar diagnostic performance was observed for most </w:t>
      </w:r>
      <w:r>
        <w:t>of the evaluated</w:t>
      </w:r>
      <w:r>
        <w:rPr>
          <w:color w:val="000000"/>
        </w:rPr>
        <w:t xml:space="preserve"> allergens (cypress pollen, grass pollen, </w:t>
      </w:r>
      <w:r>
        <w:rPr>
          <w:i/>
          <w:color w:val="000000"/>
        </w:rPr>
        <w:t>D</w:t>
      </w:r>
      <w:r>
        <w:rPr>
          <w:i/>
        </w:rPr>
        <w:t>.</w:t>
      </w:r>
      <w:r>
        <w:rPr>
          <w:i/>
          <w:color w:val="000000"/>
        </w:rPr>
        <w:t xml:space="preserve"> pteronyssinus</w:t>
      </w:r>
      <w:r>
        <w:rPr>
          <w:color w:val="000000"/>
        </w:rPr>
        <w:t xml:space="preserve">, </w:t>
      </w:r>
      <w:r>
        <w:rPr>
          <w:i/>
          <w:color w:val="000000"/>
        </w:rPr>
        <w:t>A. alternata</w:t>
      </w:r>
      <w:r>
        <w:rPr>
          <w:color w:val="000000"/>
        </w:rPr>
        <w:t xml:space="preserve">, apple, peach, </w:t>
      </w:r>
      <w:proofErr w:type="gramStart"/>
      <w:r>
        <w:rPr>
          <w:color w:val="000000"/>
        </w:rPr>
        <w:t>hazelnut</w:t>
      </w:r>
      <w:proofErr w:type="gramEnd"/>
      <w:r>
        <w:rPr>
          <w:color w:val="000000"/>
        </w:rPr>
        <w:t xml:space="preserve"> and peanut). Se </w:t>
      </w:r>
      <w:r>
        <w:t>for</w:t>
      </w:r>
      <w:r>
        <w:rPr>
          <w:color w:val="000000"/>
        </w:rPr>
        <w:t xml:space="preserve"> Immuno</w:t>
      </w:r>
      <w:r>
        <w:t>CAP whole extract was significantly superior</w:t>
      </w:r>
      <w:r>
        <w:rPr>
          <w:color w:val="000000"/>
        </w:rPr>
        <w:t xml:space="preserve"> </w:t>
      </w:r>
      <w:proofErr w:type="gramStart"/>
      <w:r>
        <w:rPr>
          <w:color w:val="000000"/>
        </w:rPr>
        <w:t>than</w:t>
      </w:r>
      <w:proofErr w:type="gramEnd"/>
      <w:r>
        <w:rPr>
          <w:color w:val="000000"/>
        </w:rPr>
        <w:t xml:space="preserve"> f</w:t>
      </w:r>
      <w:r>
        <w:t xml:space="preserve">or </w:t>
      </w:r>
      <w:r>
        <w:rPr>
          <w:color w:val="000000"/>
        </w:rPr>
        <w:t>ALEX2</w:t>
      </w:r>
      <w:r>
        <w:t xml:space="preserve"> in the diagnosis of olive pollen </w:t>
      </w:r>
      <w:r>
        <w:rPr>
          <w:color w:val="000000"/>
        </w:rPr>
        <w:t>and walnut allergy</w:t>
      </w:r>
      <w:r>
        <w:t>.</w:t>
      </w:r>
      <w:r>
        <w:rPr>
          <w:color w:val="000000"/>
        </w:rPr>
        <w:t xml:space="preserve"> </w:t>
      </w:r>
      <w:r>
        <w:t xml:space="preserve">Se </w:t>
      </w:r>
      <w:r>
        <w:rPr>
          <w:color w:val="000000"/>
        </w:rPr>
        <w:t xml:space="preserve">for </w:t>
      </w:r>
      <w:proofErr w:type="spellStart"/>
      <w:r>
        <w:t>sIgE</w:t>
      </w:r>
      <w:proofErr w:type="spellEnd"/>
      <w:r>
        <w:t xml:space="preserve"> to</w:t>
      </w:r>
      <w:r>
        <w:rPr>
          <w:color w:val="000000"/>
        </w:rPr>
        <w:t xml:space="preserve"> </w:t>
      </w:r>
      <w:r>
        <w:rPr>
          <w:i/>
          <w:color w:val="000000"/>
        </w:rPr>
        <w:t>A. alternata</w:t>
      </w:r>
      <w:r>
        <w:rPr>
          <w:color w:val="000000"/>
        </w:rPr>
        <w:t xml:space="preserve"> by </w:t>
      </w:r>
      <w:r>
        <w:t xml:space="preserve">ImmunoCAP </w:t>
      </w:r>
      <w:r>
        <w:rPr>
          <w:color w:val="000000"/>
        </w:rPr>
        <w:t xml:space="preserve">was not compared </w:t>
      </w:r>
      <w:r>
        <w:t xml:space="preserve">with ALEX2, </w:t>
      </w:r>
      <w:r>
        <w:rPr>
          <w:color w:val="000000"/>
        </w:rPr>
        <w:t xml:space="preserve">since our </w:t>
      </w:r>
      <w:r>
        <w:t>inclusion criteria</w:t>
      </w:r>
      <w:r>
        <w:rPr>
          <w:color w:val="000000"/>
        </w:rPr>
        <w:t xml:space="preserve"> included positivity of the </w:t>
      </w:r>
      <w:r>
        <w:rPr>
          <w:i/>
          <w:color w:val="000000"/>
        </w:rPr>
        <w:t>A. alternata</w:t>
      </w:r>
      <w:r>
        <w:rPr>
          <w:color w:val="000000"/>
        </w:rPr>
        <w:t xml:space="preserve"> whole extract allergen when considering patients as “Alternaria allergic”. </w:t>
      </w:r>
    </w:p>
    <w:p w14:paraId="1E4D3705" w14:textId="77777777" w:rsidR="001C332B" w:rsidRDefault="008352E7">
      <w:pPr>
        <w:spacing w:line="360" w:lineRule="auto"/>
        <w:jc w:val="both"/>
      </w:pPr>
      <w:r>
        <w:rPr>
          <w:color w:val="000000"/>
        </w:rPr>
        <w:t xml:space="preserve">Moreover, when </w:t>
      </w:r>
      <w:r>
        <w:t>analyzing data on a component by-component basis for selected allergens (major allergens in our sample) by ALEX2 and ImmunoCAP, ALEX2 showed similar diagnostic performance for all the allergens tested; Jug r 3 tends to show worse performance by ALEX2 than by ImmunoCAP but these differences do not reach statistical significance (Table II). In addition, in the knowledge that the</w:t>
      </w:r>
      <w:r>
        <w:rPr>
          <w:color w:val="000000"/>
        </w:rPr>
        <w:t xml:space="preserve"> ALEX2 platform has been created as a quantitative method, correlation analysis </w:t>
      </w:r>
      <w:r>
        <w:rPr>
          <w:color w:val="000000"/>
        </w:rPr>
        <w:lastRenderedPageBreak/>
        <w:t xml:space="preserve">was performed using </w:t>
      </w:r>
      <w:proofErr w:type="spellStart"/>
      <w:r>
        <w:rPr>
          <w:color w:val="000000"/>
        </w:rPr>
        <w:t>sIgE</w:t>
      </w:r>
      <w:proofErr w:type="spellEnd"/>
      <w:r>
        <w:rPr>
          <w:color w:val="000000"/>
        </w:rPr>
        <w:t xml:space="preserve"> against selected major components between ImmunoCAP and ALEX2</w:t>
      </w:r>
      <w:r>
        <w:t>,</w:t>
      </w:r>
      <w:r>
        <w:rPr>
          <w:color w:val="000000"/>
        </w:rPr>
        <w:t xml:space="preserve"> showing high correlation </w:t>
      </w:r>
      <w:r>
        <w:t xml:space="preserve">coefficients, all of them over 0.750. Given that ImmunoCAP and ALEX2 results are both measured in </w:t>
      </w:r>
      <w:proofErr w:type="spellStart"/>
      <w:r>
        <w:t>kU</w:t>
      </w:r>
      <w:r>
        <w:rPr>
          <w:vertAlign w:val="subscript"/>
        </w:rPr>
        <w:t>A</w:t>
      </w:r>
      <w:proofErr w:type="spellEnd"/>
      <w:r>
        <w:t xml:space="preserve">/L, quantitative comparisons were performed for </w:t>
      </w:r>
      <w:proofErr w:type="spellStart"/>
      <w:r>
        <w:t>sIgE</w:t>
      </w:r>
      <w:proofErr w:type="spellEnd"/>
      <w:r>
        <w:t xml:space="preserve"> to these major components resulting in higher </w:t>
      </w:r>
      <w:proofErr w:type="spellStart"/>
      <w:r>
        <w:t>sIgE</w:t>
      </w:r>
      <w:proofErr w:type="spellEnd"/>
      <w:r>
        <w:t xml:space="preserve"> levels by ALEX2 than by ImmunoCAP for 7 of the 12 allergens in cases and higher </w:t>
      </w:r>
      <w:proofErr w:type="spellStart"/>
      <w:r>
        <w:t>sIgE</w:t>
      </w:r>
      <w:proofErr w:type="spellEnd"/>
      <w:r>
        <w:t xml:space="preserve"> by ImmunoCAP than ALEX2 in 7 of the 12 allergens in controls (Table III).</w:t>
      </w:r>
    </w:p>
    <w:p w14:paraId="13447184" w14:textId="77777777" w:rsidR="001C332B" w:rsidRDefault="001C332B">
      <w:pPr>
        <w:spacing w:line="360" w:lineRule="auto"/>
        <w:jc w:val="both"/>
      </w:pPr>
    </w:p>
    <w:p w14:paraId="43C39F5B" w14:textId="77777777" w:rsidR="001C332B" w:rsidRDefault="008352E7">
      <w:pPr>
        <w:spacing w:line="360" w:lineRule="auto"/>
        <w:rPr>
          <w:i/>
          <w:color w:val="000000"/>
        </w:rPr>
      </w:pPr>
      <w:r>
        <w:rPr>
          <w:i/>
          <w:color w:val="000000"/>
        </w:rPr>
        <w:t xml:space="preserve">Total </w:t>
      </w:r>
      <w:proofErr w:type="spellStart"/>
      <w:r>
        <w:rPr>
          <w:i/>
          <w:color w:val="000000"/>
        </w:rPr>
        <w:t>IgE</w:t>
      </w:r>
      <w:proofErr w:type="spellEnd"/>
      <w:r>
        <w:rPr>
          <w:i/>
          <w:color w:val="000000"/>
        </w:rPr>
        <w:t xml:space="preserve"> </w:t>
      </w:r>
    </w:p>
    <w:p w14:paraId="42C54E0F" w14:textId="77777777" w:rsidR="001C332B" w:rsidRDefault="008352E7">
      <w:pPr>
        <w:spacing w:line="360" w:lineRule="auto"/>
        <w:rPr>
          <w:color w:val="000000"/>
        </w:rPr>
      </w:pPr>
      <w:r>
        <w:rPr>
          <w:color w:val="000000"/>
        </w:rPr>
        <w:t xml:space="preserve">Taking into consideration that total </w:t>
      </w:r>
      <w:proofErr w:type="spellStart"/>
      <w:r>
        <w:rPr>
          <w:color w:val="000000"/>
        </w:rPr>
        <w:t>IgE</w:t>
      </w:r>
      <w:proofErr w:type="spellEnd"/>
      <w:r>
        <w:rPr>
          <w:color w:val="000000"/>
        </w:rPr>
        <w:t xml:space="preserve"> is measured </w:t>
      </w:r>
      <w:proofErr w:type="spellStart"/>
      <w:r>
        <w:t>semiquantitatively</w:t>
      </w:r>
      <w:proofErr w:type="spellEnd"/>
      <w:r>
        <w:t xml:space="preserve"> </w:t>
      </w:r>
      <w:r>
        <w:rPr>
          <w:color w:val="000000"/>
        </w:rPr>
        <w:t xml:space="preserve">by ALEX2, a quantitative correlation analysis was performed </w:t>
      </w:r>
      <w:r>
        <w:t>for</w:t>
      </w:r>
      <w:r>
        <w:rPr>
          <w:color w:val="000000"/>
        </w:rPr>
        <w:t xml:space="preserve"> total </w:t>
      </w:r>
      <w:proofErr w:type="spellStart"/>
      <w:r>
        <w:rPr>
          <w:color w:val="000000"/>
        </w:rPr>
        <w:t>IgE</w:t>
      </w:r>
      <w:proofErr w:type="spellEnd"/>
      <w:r>
        <w:rPr>
          <w:color w:val="000000"/>
        </w:rPr>
        <w:t xml:space="preserve"> measured by ALEX2 and </w:t>
      </w:r>
      <w:r>
        <w:t>Immuno</w:t>
      </w:r>
      <w:r>
        <w:rPr>
          <w:color w:val="000000"/>
        </w:rPr>
        <w:t xml:space="preserve">CAP. Total </w:t>
      </w:r>
      <w:proofErr w:type="spellStart"/>
      <w:r>
        <w:rPr>
          <w:color w:val="000000"/>
        </w:rPr>
        <w:t>IgE</w:t>
      </w:r>
      <w:proofErr w:type="spellEnd"/>
      <w:r>
        <w:rPr>
          <w:color w:val="000000"/>
        </w:rPr>
        <w:t xml:space="preserve"> values obtained in ALEX2 below 20 and above 2500 </w:t>
      </w:r>
      <w:proofErr w:type="spellStart"/>
      <w:r>
        <w:rPr>
          <w:color w:val="000000"/>
        </w:rPr>
        <w:t>kU</w:t>
      </w:r>
      <w:proofErr w:type="spellEnd"/>
      <w:r>
        <w:rPr>
          <w:color w:val="000000"/>
        </w:rPr>
        <w:t xml:space="preserve">/L were not </w:t>
      </w:r>
      <w:r>
        <w:t>included,</w:t>
      </w:r>
      <w:r>
        <w:rPr>
          <w:color w:val="000000"/>
        </w:rPr>
        <w:t xml:space="preserve"> since the platform cannot detect them precisely, and </w:t>
      </w:r>
      <w:r>
        <w:t>neither were</w:t>
      </w:r>
      <w:r>
        <w:rPr>
          <w:color w:val="000000"/>
        </w:rPr>
        <w:t xml:space="preserve"> total </w:t>
      </w:r>
      <w:proofErr w:type="spellStart"/>
      <w:r>
        <w:rPr>
          <w:color w:val="000000"/>
        </w:rPr>
        <w:t>IgE</w:t>
      </w:r>
      <w:proofErr w:type="spellEnd"/>
      <w:r>
        <w:rPr>
          <w:color w:val="000000"/>
        </w:rPr>
        <w:t xml:space="preserve"> values by ImmunoCAP below 2 and above 5000 </w:t>
      </w:r>
      <w:proofErr w:type="spellStart"/>
      <w:r>
        <w:rPr>
          <w:color w:val="000000"/>
        </w:rPr>
        <w:t>kU</w:t>
      </w:r>
      <w:proofErr w:type="spellEnd"/>
      <w:r>
        <w:rPr>
          <w:color w:val="000000"/>
        </w:rPr>
        <w:t xml:space="preserve">/L, according to manufacturer’s specifications. Thus, </w:t>
      </w:r>
      <w:r>
        <w:t>163 patients (147 cases and 16 controls)</w:t>
      </w:r>
      <w:r>
        <w:rPr>
          <w:color w:val="000000"/>
        </w:rPr>
        <w:t xml:space="preserve"> were </w:t>
      </w:r>
      <w:r>
        <w:t xml:space="preserve">finally </w:t>
      </w:r>
      <w:r>
        <w:rPr>
          <w:color w:val="000000"/>
        </w:rPr>
        <w:t>use</w:t>
      </w:r>
      <w:r>
        <w:t>d for the analysis.</w:t>
      </w:r>
      <w:r>
        <w:rPr>
          <w:color w:val="000000"/>
        </w:rPr>
        <w:t xml:space="preserve"> </w:t>
      </w:r>
      <w:r>
        <w:t>A g</w:t>
      </w:r>
      <w:r>
        <w:rPr>
          <w:color w:val="000000"/>
        </w:rPr>
        <w:t xml:space="preserve">ood correlation was observed </w:t>
      </w:r>
      <w:r>
        <w:t>between</w:t>
      </w:r>
      <w:r>
        <w:rPr>
          <w:color w:val="000000"/>
        </w:rPr>
        <w:t xml:space="preserve"> both techniques (Spearman Rho: 0.81</w:t>
      </w:r>
      <w:r>
        <w:t>14</w:t>
      </w:r>
      <w:r>
        <w:rPr>
          <w:color w:val="000000"/>
        </w:rPr>
        <w:t xml:space="preserve">; </w:t>
      </w:r>
      <w:r w:rsidR="00C0056E">
        <w:rPr>
          <w:i/>
          <w:color w:val="000000"/>
        </w:rPr>
        <w:t>P</w:t>
      </w:r>
      <w:r>
        <w:rPr>
          <w:color w:val="000000"/>
        </w:rPr>
        <w:t>&lt;0.001)</w:t>
      </w:r>
      <w:r>
        <w:t xml:space="preserve"> </w:t>
      </w:r>
      <w:r>
        <w:rPr>
          <w:color w:val="000000"/>
        </w:rPr>
        <w:t>(</w:t>
      </w:r>
      <w:r>
        <w:t>Figure</w:t>
      </w:r>
      <w:r>
        <w:rPr>
          <w:color w:val="000000"/>
        </w:rPr>
        <w:t xml:space="preserve"> S1</w:t>
      </w:r>
      <w:r>
        <w:t>).</w:t>
      </w:r>
    </w:p>
    <w:p w14:paraId="265073C9" w14:textId="77777777" w:rsidR="001C332B" w:rsidRDefault="001C332B"/>
    <w:p w14:paraId="7776B3CB" w14:textId="77777777" w:rsidR="001C332B" w:rsidRDefault="001C332B"/>
    <w:p w14:paraId="1FDC616B" w14:textId="77777777" w:rsidR="001C332B" w:rsidRDefault="008352E7">
      <w:pPr>
        <w:spacing w:line="360" w:lineRule="auto"/>
      </w:pPr>
      <w:r>
        <w:rPr>
          <w:i/>
        </w:rPr>
        <w:t>Technical validation</w:t>
      </w:r>
    </w:p>
    <w:p w14:paraId="64920449" w14:textId="77777777" w:rsidR="001C332B" w:rsidRDefault="008352E7">
      <w:pPr>
        <w:spacing w:line="360" w:lineRule="auto"/>
        <w:jc w:val="both"/>
      </w:pPr>
      <w:r>
        <w:t xml:space="preserve">The global repeatability of the ALEX2 array was found to be excellent, 0.9979 (alpha </w:t>
      </w:r>
      <w:proofErr w:type="spellStart"/>
      <w:r>
        <w:t>Crombach</w:t>
      </w:r>
      <w:proofErr w:type="spellEnd"/>
      <w:r>
        <w:t xml:space="preserve">). Variability of the repeated measurements for the studied allergens (intra-assay analysis) was also analyzed individually by calculating the coefficient of variation (CV) for positive results (allergens showing positive results in at least 50% of the 10 repeated measurements: 32 out of 44 allergens) for the pooled sera. CV data were grouped in ranges based on </w:t>
      </w:r>
      <w:proofErr w:type="spellStart"/>
      <w:r>
        <w:t>sIgE</w:t>
      </w:r>
      <w:proofErr w:type="spellEnd"/>
      <w:r>
        <w:t xml:space="preserve"> levels of each allergen and median intra-assay CV were calculated for each range (Table IV). All allergens with values over 1</w:t>
      </w:r>
      <w:r w:rsidR="00BB3C3F">
        <w:t xml:space="preserve"> </w:t>
      </w:r>
      <w:proofErr w:type="spellStart"/>
      <w:r>
        <w:t>kU</w:t>
      </w:r>
      <w:r w:rsidRPr="00BB3C3F">
        <w:rPr>
          <w:vertAlign w:val="subscript"/>
        </w:rPr>
        <w:t>A</w:t>
      </w:r>
      <w:proofErr w:type="spellEnd"/>
      <w:r>
        <w:t>/L showed CVs under 15%, while higher CVs were observed for values between 0.3 and 1. This is expected, as CV is largely influenced by mean value, which is approaching 0 in this first range. On the other hand, it is important to note the small group size in this range. To note, when considering all 44 allergens, repetitions were consistent for all of them in terms of sensitization results (positive/negative) except for Alt a 6, for which half of the results were positive and half were negative, showing a high variability (CV: 107%, median, range: 0.29, 0.10-1.66</w:t>
      </w:r>
      <w:r w:rsidR="00C0056E">
        <w:t xml:space="preserve"> </w:t>
      </w:r>
      <w:proofErr w:type="spellStart"/>
      <w:r>
        <w:t>kU</w:t>
      </w:r>
      <w:r>
        <w:rPr>
          <w:vertAlign w:val="subscript"/>
        </w:rPr>
        <w:t>A</w:t>
      </w:r>
      <w:proofErr w:type="spellEnd"/>
      <w:r>
        <w:t>/L) and Der p 21, which showed only one result above 0.30</w:t>
      </w:r>
      <w:r w:rsidR="00C0056E">
        <w:t xml:space="preserve"> </w:t>
      </w:r>
      <w:proofErr w:type="spellStart"/>
      <w:r>
        <w:t>kU</w:t>
      </w:r>
      <w:r>
        <w:rPr>
          <w:vertAlign w:val="subscript"/>
        </w:rPr>
        <w:t>A</w:t>
      </w:r>
      <w:proofErr w:type="spellEnd"/>
      <w:r>
        <w:t>/L (CV: 100%, median, range: 0.09, 0.00-0.31</w:t>
      </w:r>
      <w:r w:rsidR="00C0056E">
        <w:t xml:space="preserve"> </w:t>
      </w:r>
      <w:proofErr w:type="spellStart"/>
      <w:r>
        <w:t>kU</w:t>
      </w:r>
      <w:r>
        <w:rPr>
          <w:vertAlign w:val="subscript"/>
        </w:rPr>
        <w:t>A</w:t>
      </w:r>
      <w:proofErr w:type="spellEnd"/>
      <w:r>
        <w:t xml:space="preserve">/L). Two other allergens which showed positive and negative results in the repeated measurements, presented moderate variability and data scattered around the positivity cut-off value: </w:t>
      </w:r>
      <w:proofErr w:type="spellStart"/>
      <w:r>
        <w:t>Phl</w:t>
      </w:r>
      <w:proofErr w:type="spellEnd"/>
      <w:r>
        <w:t xml:space="preserve"> p 5.0101 (CV: 29%, median, range: 0.37, 0.21-0.55</w:t>
      </w:r>
      <w:r w:rsidR="00C0056E">
        <w:t xml:space="preserve"> </w:t>
      </w:r>
      <w:proofErr w:type="spellStart"/>
      <w:r>
        <w:t>kU</w:t>
      </w:r>
      <w:r>
        <w:rPr>
          <w:vertAlign w:val="subscript"/>
        </w:rPr>
        <w:t>A</w:t>
      </w:r>
      <w:proofErr w:type="spellEnd"/>
      <w:r>
        <w:t xml:space="preserve">/L), and </w:t>
      </w:r>
      <w:proofErr w:type="spellStart"/>
      <w:r>
        <w:t>Phl</w:t>
      </w:r>
      <w:proofErr w:type="spellEnd"/>
      <w:r>
        <w:t xml:space="preserve"> p 6 (CV: 38%, median, range: 0.41, 0.23-0.85</w:t>
      </w:r>
      <w:r w:rsidR="00C0056E">
        <w:t xml:space="preserve"> </w:t>
      </w:r>
      <w:proofErr w:type="spellStart"/>
      <w:r>
        <w:t>kU</w:t>
      </w:r>
      <w:r>
        <w:rPr>
          <w:vertAlign w:val="subscript"/>
        </w:rPr>
        <w:t>A</w:t>
      </w:r>
      <w:proofErr w:type="spellEnd"/>
      <w:r>
        <w:t>/L).</w:t>
      </w:r>
    </w:p>
    <w:p w14:paraId="50BB4A1F" w14:textId="77777777" w:rsidR="001C332B" w:rsidRDefault="001C332B">
      <w:pPr>
        <w:spacing w:line="360" w:lineRule="auto"/>
        <w:jc w:val="both"/>
      </w:pPr>
    </w:p>
    <w:p w14:paraId="3C176CCA" w14:textId="77777777" w:rsidR="001C332B" w:rsidRDefault="008352E7">
      <w:pPr>
        <w:spacing w:line="360" w:lineRule="auto"/>
        <w:jc w:val="both"/>
      </w:pPr>
      <w:r>
        <w:t>Reproducibility was assessed individually for the studied allergens using two approaches: the CV calculated fo</w:t>
      </w:r>
      <w:r w:rsidR="004A342B">
        <w:t>r positive results in the inter</w:t>
      </w:r>
      <w:r w:rsidR="00AA4295">
        <w:t>-</w:t>
      </w:r>
      <w:r>
        <w:t xml:space="preserve">assay analysis (allergens showing positive results in at least 50% of the 5 repeated measurements: 33 out of 44) for the pooled sera and ICC for 10 different samples (pooled sera and 9 samples). CV were grouped based on </w:t>
      </w:r>
      <w:proofErr w:type="spellStart"/>
      <w:r>
        <w:t>sIgE</w:t>
      </w:r>
      <w:proofErr w:type="spellEnd"/>
      <w:r>
        <w:t xml:space="preserve"> ranges </w:t>
      </w:r>
      <w:r w:rsidR="004A342B">
        <w:t xml:space="preserve">of </w:t>
      </w:r>
      <w:proofErr w:type="spellStart"/>
      <w:r w:rsidR="004A342B">
        <w:t>sIgE</w:t>
      </w:r>
      <w:proofErr w:type="spellEnd"/>
      <w:r w:rsidR="004A342B">
        <w:t xml:space="preserve"> levels and median inter</w:t>
      </w:r>
      <w:r w:rsidR="00AA4295">
        <w:t>-</w:t>
      </w:r>
      <w:r>
        <w:t>assay CV were calculated for each range (Table IV). As expected, slightly higher variability was observed for pooled sera measurements conducted in different days, compared with repetitions in the same day, but median CV for allergens with values over 1</w:t>
      </w:r>
      <w:r w:rsidR="00C0056E">
        <w:t xml:space="preserve"> </w:t>
      </w:r>
      <w:proofErr w:type="spellStart"/>
      <w:r>
        <w:t>kU</w:t>
      </w:r>
      <w:r w:rsidRPr="00C0056E">
        <w:rPr>
          <w:vertAlign w:val="subscript"/>
        </w:rPr>
        <w:t>A</w:t>
      </w:r>
      <w:proofErr w:type="spellEnd"/>
      <w:r>
        <w:t>/L was also under 15% (Table V). Again, most of the allergens depicted consistent results in terms of sensitization outcome (positive/negative results), except for Alt a 6 (CV: 108%, range: 0.10-1.89</w:t>
      </w:r>
      <w:r w:rsidR="00C0056E">
        <w:t xml:space="preserve"> </w:t>
      </w:r>
      <w:proofErr w:type="spellStart"/>
      <w:r>
        <w:t>kU</w:t>
      </w:r>
      <w:r>
        <w:rPr>
          <w:vertAlign w:val="subscript"/>
        </w:rPr>
        <w:t>A</w:t>
      </w:r>
      <w:proofErr w:type="spellEnd"/>
      <w:r>
        <w:t>/L), Ara h 15 (CV: 183%, range: 0.00-0.71</w:t>
      </w:r>
      <w:r w:rsidR="00C0056E">
        <w:t xml:space="preserve"> </w:t>
      </w:r>
      <w:proofErr w:type="spellStart"/>
      <w:r>
        <w:t>kU</w:t>
      </w:r>
      <w:r>
        <w:rPr>
          <w:vertAlign w:val="subscript"/>
        </w:rPr>
        <w:t>A</w:t>
      </w:r>
      <w:proofErr w:type="spellEnd"/>
      <w:r>
        <w:t>/L) and Der p 5 (CV: 93%, range: 0-0.55</w:t>
      </w:r>
      <w:r w:rsidR="00C0056E">
        <w:t xml:space="preserve"> </w:t>
      </w:r>
      <w:proofErr w:type="spellStart"/>
      <w:r>
        <w:t>kU</w:t>
      </w:r>
      <w:r>
        <w:rPr>
          <w:vertAlign w:val="subscript"/>
        </w:rPr>
        <w:t>A</w:t>
      </w:r>
      <w:proofErr w:type="spellEnd"/>
      <w:r>
        <w:t xml:space="preserve">/L). Two other allergens showing positive and negative results in different measurements presented moderate variability and data close to the cut off value: </w:t>
      </w:r>
      <w:proofErr w:type="spellStart"/>
      <w:r>
        <w:t>Phl</w:t>
      </w:r>
      <w:proofErr w:type="spellEnd"/>
      <w:r>
        <w:t xml:space="preserve"> p 5.0101 (CV: 36%, range: 0.26-0.53</w:t>
      </w:r>
      <w:r w:rsidR="00C0056E">
        <w:t xml:space="preserve"> </w:t>
      </w:r>
      <w:proofErr w:type="spellStart"/>
      <w:r>
        <w:t>kU</w:t>
      </w:r>
      <w:r>
        <w:rPr>
          <w:vertAlign w:val="subscript"/>
        </w:rPr>
        <w:t>A</w:t>
      </w:r>
      <w:proofErr w:type="spellEnd"/>
      <w:r>
        <w:t xml:space="preserve">/L) and </w:t>
      </w:r>
      <w:proofErr w:type="spellStart"/>
      <w:r>
        <w:t>Phl</w:t>
      </w:r>
      <w:proofErr w:type="spellEnd"/>
      <w:r>
        <w:t xml:space="preserve"> p 6 (CV: 39%, range: 0.28-0.69</w:t>
      </w:r>
      <w:r w:rsidR="00C0056E">
        <w:t xml:space="preserve"> </w:t>
      </w:r>
      <w:proofErr w:type="spellStart"/>
      <w:r>
        <w:t>kU</w:t>
      </w:r>
      <w:r>
        <w:rPr>
          <w:vertAlign w:val="subscript"/>
        </w:rPr>
        <w:t>A</w:t>
      </w:r>
      <w:proofErr w:type="spellEnd"/>
      <w:r>
        <w:t>/L). Considering the consistency of data between different samples, in general, high ICC were observed for inter</w:t>
      </w:r>
      <w:r w:rsidR="00AA4295">
        <w:t>-</w:t>
      </w:r>
      <w:r>
        <w:t>assay determinations (Table V).</w:t>
      </w:r>
    </w:p>
    <w:p w14:paraId="69B55FF1" w14:textId="77777777" w:rsidR="001C332B" w:rsidRDefault="001C332B">
      <w:pPr>
        <w:spacing w:line="360" w:lineRule="auto"/>
        <w:rPr>
          <w:highlight w:val="magenta"/>
        </w:rPr>
      </w:pPr>
    </w:p>
    <w:p w14:paraId="6E2E833B" w14:textId="77777777" w:rsidR="001C332B" w:rsidRDefault="008352E7">
      <w:pPr>
        <w:spacing w:line="360" w:lineRule="auto"/>
        <w:jc w:val="both"/>
      </w:pPr>
      <w:r>
        <w:t>Inter</w:t>
      </w:r>
      <w:r w:rsidR="00AA4295">
        <w:t>-</w:t>
      </w:r>
      <w:r>
        <w:t>batch and inter</w:t>
      </w:r>
      <w:r w:rsidR="00AA4295">
        <w:t>-</w:t>
      </w:r>
      <w:r>
        <w:t>lab variability were calculated by analyzing two measurements under different conditions: different batch and different laboratory, respectivel</w:t>
      </w:r>
      <w:r w:rsidR="004A342B">
        <w:t>y. ICC was calculated for inter</w:t>
      </w:r>
      <w:r w:rsidR="00AA4295">
        <w:t>-</w:t>
      </w:r>
      <w:r w:rsidR="004A342B">
        <w:t>batch and inter</w:t>
      </w:r>
      <w:r w:rsidR="00AA4295">
        <w:t>-</w:t>
      </w:r>
      <w:r>
        <w:t>laboratory analysis (Table V), including the pool</w:t>
      </w:r>
      <w:r w:rsidR="000B11F4">
        <w:t>,</w:t>
      </w:r>
      <w:r>
        <w:t xml:space="preserve"> </w:t>
      </w:r>
      <w:r w:rsidR="000B11F4">
        <w:t>along</w:t>
      </w:r>
      <w:r>
        <w:t xml:space="preserve"> with 9 samples. Regarding consistency of data, from 440 determinations evaluated in inter</w:t>
      </w:r>
      <w:r w:rsidR="00AA4295">
        <w:t>-</w:t>
      </w:r>
      <w:r>
        <w:t xml:space="preserve">batch analysis (44 allergens in 10 sera), only 17 (3.9%) depicted differences that led to a different sensitization diagnostic (positive/negative </w:t>
      </w:r>
      <w:proofErr w:type="spellStart"/>
      <w:r>
        <w:t>sIgE</w:t>
      </w:r>
      <w:proofErr w:type="spellEnd"/>
      <w:r>
        <w:t>). Moreover, from 440 determinations evaluated in the inter</w:t>
      </w:r>
      <w:r w:rsidR="00AA4295">
        <w:t>-</w:t>
      </w:r>
      <w:r>
        <w:t xml:space="preserve">laboratory analysis, only 11 (2.5%) depicted differences that led to a different sensitization diagnostic. </w:t>
      </w:r>
    </w:p>
    <w:p w14:paraId="096D50BE" w14:textId="77777777" w:rsidR="001C332B" w:rsidRDefault="001C332B">
      <w:pPr>
        <w:spacing w:line="360" w:lineRule="auto"/>
        <w:jc w:val="both"/>
      </w:pPr>
    </w:p>
    <w:p w14:paraId="41BF487D" w14:textId="77777777" w:rsidR="001C332B" w:rsidRDefault="008352E7">
      <w:pPr>
        <w:spacing w:line="360" w:lineRule="auto"/>
        <w:jc w:val="both"/>
      </w:pPr>
      <w:r>
        <w:t xml:space="preserve">Linearity analysis was performed for those allergens showing measurements equal or over 3 </w:t>
      </w:r>
      <w:proofErr w:type="spellStart"/>
      <w:r>
        <w:t>kU</w:t>
      </w:r>
      <w:r>
        <w:rPr>
          <w:vertAlign w:val="subscript"/>
        </w:rPr>
        <w:t>A</w:t>
      </w:r>
      <w:proofErr w:type="spellEnd"/>
      <w:r>
        <w:t xml:space="preserve">/L, to ensure dilutions fell within the positive value range of the technique. Using this criterion, we included 59 measurements in this analysis, covering 28 of our 44 studied allergens. Linearity of </w:t>
      </w:r>
      <w:proofErr w:type="spellStart"/>
      <w:r>
        <w:t>sIgE</w:t>
      </w:r>
      <w:proofErr w:type="spellEnd"/>
      <w:r>
        <w:t xml:space="preserve"> by ALEX2 platform has been reported</w:t>
      </w:r>
      <w:r>
        <w:rPr>
          <w:vertAlign w:val="superscript"/>
        </w:rPr>
        <w:t>12</w:t>
      </w:r>
      <w:r>
        <w:t xml:space="preserve">, with an upper limit of detection described at 50 </w:t>
      </w:r>
      <w:proofErr w:type="spellStart"/>
      <w:r>
        <w:t>kU</w:t>
      </w:r>
      <w:r>
        <w:rPr>
          <w:vertAlign w:val="subscript"/>
        </w:rPr>
        <w:t>A</w:t>
      </w:r>
      <w:proofErr w:type="spellEnd"/>
      <w:r>
        <w:t xml:space="preserve">/L. We observed that, for allergens with high </w:t>
      </w:r>
      <w:proofErr w:type="spellStart"/>
      <w:r>
        <w:t>sIgE</w:t>
      </w:r>
      <w:proofErr w:type="spellEnd"/>
      <w:r>
        <w:t xml:space="preserve"> concentrations (&gt;30 </w:t>
      </w:r>
      <w:proofErr w:type="spellStart"/>
      <w:r>
        <w:t>kU</w:t>
      </w:r>
      <w:r>
        <w:rPr>
          <w:vertAlign w:val="subscript"/>
        </w:rPr>
        <w:t>A</w:t>
      </w:r>
      <w:proofErr w:type="spellEnd"/>
      <w:r>
        <w:t xml:space="preserve">/L), there was a decrease of the slope and the regression coefficient (R2) values (Figure 1), suggesting poor linearity in the upper range. For concentrations lower than 30 </w:t>
      </w:r>
      <w:proofErr w:type="spellStart"/>
      <w:r>
        <w:t>kU</w:t>
      </w:r>
      <w:r>
        <w:rPr>
          <w:vertAlign w:val="subscript"/>
        </w:rPr>
        <w:t>A</w:t>
      </w:r>
      <w:proofErr w:type="spellEnd"/>
      <w:r>
        <w:t xml:space="preserve">/L and higher than 0.3 </w:t>
      </w:r>
      <w:proofErr w:type="spellStart"/>
      <w:r>
        <w:t>kU</w:t>
      </w:r>
      <w:r>
        <w:rPr>
          <w:vertAlign w:val="subscript"/>
        </w:rPr>
        <w:t>A</w:t>
      </w:r>
      <w:proofErr w:type="spellEnd"/>
      <w:r>
        <w:t xml:space="preserve">/L, most of the measurements depicted good linearity. Within this concentration range, only 6 linear regressions out of 48 presented very poor metrics (Figure 1), including Alt a 6 (analyzed in one sample), Ara h 3 (in two of two analyzed samples), Cup a 1 (in one sample of four analyzed samples), Mal d 1 (in one sample of two </w:t>
      </w:r>
      <w:r>
        <w:lastRenderedPageBreak/>
        <w:t xml:space="preserve">analyzed samples) and </w:t>
      </w:r>
      <w:proofErr w:type="spellStart"/>
      <w:r>
        <w:t>Pru</w:t>
      </w:r>
      <w:proofErr w:type="spellEnd"/>
      <w:r>
        <w:t xml:space="preserve"> p 3 (in one sample of four analyzed samples). To note, Alt a 6 showed the worst linearity data, consistently depicting a deficient performance, as observed in the rest of our technical analysis. </w:t>
      </w:r>
    </w:p>
    <w:p w14:paraId="624CB77A" w14:textId="77777777" w:rsidR="001C332B" w:rsidRDefault="008352E7">
      <w:pPr>
        <w:keepNext/>
        <w:keepLines/>
        <w:pBdr>
          <w:top w:val="nil"/>
          <w:left w:val="nil"/>
          <w:bottom w:val="nil"/>
          <w:right w:val="nil"/>
          <w:between w:val="nil"/>
        </w:pBdr>
        <w:spacing w:before="240" w:line="360" w:lineRule="auto"/>
        <w:rPr>
          <w:b/>
          <w:color w:val="000000"/>
          <w:sz w:val="28"/>
          <w:szCs w:val="28"/>
        </w:rPr>
      </w:pPr>
      <w:r>
        <w:rPr>
          <w:b/>
          <w:color w:val="000000"/>
          <w:sz w:val="28"/>
          <w:szCs w:val="28"/>
        </w:rPr>
        <w:t>Discussion</w:t>
      </w:r>
    </w:p>
    <w:p w14:paraId="3427BBE2" w14:textId="77777777" w:rsidR="001C332B" w:rsidRDefault="008352E7">
      <w:pPr>
        <w:spacing w:line="360" w:lineRule="auto"/>
        <w:jc w:val="both"/>
      </w:pPr>
      <w:r>
        <w:t>Allergy diagnosis has largely benefited from multiplex allergen platforms based on molecular components. Ever since the Immuno-Solid Phase Allergen Chip (ISAC) was introduced twenty years ago</w:t>
      </w:r>
      <w:r>
        <w:rPr>
          <w:vertAlign w:val="superscript"/>
        </w:rPr>
        <w:t>13</w:t>
      </w:r>
      <w:r>
        <w:t>, other techniques have been developed, each one with its own set of allergens and technical features</w:t>
      </w:r>
      <w:r>
        <w:rPr>
          <w:vertAlign w:val="superscript"/>
        </w:rPr>
        <w:t>14, 15</w:t>
      </w:r>
      <w:r>
        <w:t xml:space="preserve">. Our study sought to assess the diagnostic performance of one of the newest platforms, ALEX version 2 (ALEX2), comparing it to the gold standard in </w:t>
      </w:r>
      <w:proofErr w:type="spellStart"/>
      <w:r>
        <w:t>sIgE</w:t>
      </w:r>
      <w:proofErr w:type="spellEnd"/>
      <w:r>
        <w:t xml:space="preserve"> quantification, ImmunoCAP, and the most widely used multiplex array, ImmunoCAP ISAC 112, in a properly characterized sample.</w:t>
      </w:r>
    </w:p>
    <w:p w14:paraId="735F8A8A" w14:textId="77777777" w:rsidR="001C332B" w:rsidRDefault="001C332B">
      <w:pPr>
        <w:spacing w:line="360" w:lineRule="auto"/>
      </w:pPr>
    </w:p>
    <w:p w14:paraId="3352CE3D" w14:textId="77777777" w:rsidR="001C332B" w:rsidRPr="00C0056E" w:rsidRDefault="008352E7">
      <w:pPr>
        <w:spacing w:line="360" w:lineRule="auto"/>
        <w:jc w:val="both"/>
      </w:pPr>
      <w:r>
        <w:t xml:space="preserve">In general, the ALEX2 platform shows sound capacity for the detection of patients allergic to some aeroallergens, certain fruits, and nuts, proving to be a reliable tool for molecular diagnosis. ALEX2 diagnostic performance is quite similar to that of the previous existing platforms, ISAC112 and ImmunoCAP, for most of the studied allergens. However, exceptions to the above statement are evident in the capacity for detection of olive pollen-allergic patients, and walnut-allergic individuals based on Jug r 3 performance. When interpreting data pertaining to olive pollen component detection, a low sensitivity was found in general. </w:t>
      </w:r>
      <w:r w:rsidRPr="00C0056E">
        <w:t xml:space="preserve">Sensitivity is much improved when adding to the analysis Fra e 1, a molecular component of the ash tree pollen (an </w:t>
      </w:r>
      <w:proofErr w:type="spellStart"/>
      <w:r w:rsidRPr="00C0056E">
        <w:t>Oleacea</w:t>
      </w:r>
      <w:proofErr w:type="spellEnd"/>
      <w:r w:rsidRPr="00C0056E">
        <w:t xml:space="preserve"> tree) that shows high identity with Ole e 1</w:t>
      </w:r>
      <w:r w:rsidRPr="00C0056E">
        <w:rPr>
          <w:vertAlign w:val="superscript"/>
        </w:rPr>
        <w:t>16</w:t>
      </w:r>
      <w:r w:rsidRPr="00C0056E">
        <w:t xml:space="preserve">. Fra e 1 seems to expose relevant olive pollen epitopes better than the Ole e 1 molecule in the ALEX2 chip. Until the Ole e 1 molecule is improved, it may be wise to consider Fra e 1 in olive pollen diagnosis when interpreting ALEX2 results in cases showing a clinical profile compatible with olive pollen allergy, it may be of value to consider. Moreover, although ALEX2 has extended the spectrum of walnut allergens represented in the chip, and Jug r 1 and Jug r 2 seem to diagnose similarly to those in ISAC112, detection of allergic patients is strengthened via Jug r 3, since our is predominantly sensitized to the walnut lipid transfer protein (LTP). </w:t>
      </w:r>
    </w:p>
    <w:p w14:paraId="0ABEC89D" w14:textId="77777777" w:rsidR="001C332B" w:rsidRDefault="001C332B">
      <w:pPr>
        <w:spacing w:line="360" w:lineRule="auto"/>
        <w:rPr>
          <w:highlight w:val="yellow"/>
        </w:rPr>
      </w:pPr>
    </w:p>
    <w:p w14:paraId="5422E954" w14:textId="4338CF57" w:rsidR="001C332B" w:rsidRDefault="008352E7">
      <w:pPr>
        <w:spacing w:line="360" w:lineRule="auto"/>
        <w:jc w:val="both"/>
      </w:pPr>
      <w:r>
        <w:t xml:space="preserve">ALEX2 showed improved diagnostic capacity for </w:t>
      </w:r>
      <w:proofErr w:type="gramStart"/>
      <w:r>
        <w:t>Alternaria</w:t>
      </w:r>
      <w:proofErr w:type="gramEnd"/>
      <w:r>
        <w:t xml:space="preserve"> and apple allergies compared with ISAC112, due to the better performance of Alt a 1 and the inclusion of Mal d 3, respectively</w:t>
      </w:r>
      <w:r w:rsidRPr="000B11F4">
        <w:t>. It is important to consider that in terms of CRD, extensively wide panels of allergens allow the inclusion of clinically relevant allergens such as Der p 23</w:t>
      </w:r>
      <w:r w:rsidRPr="000B11F4">
        <w:rPr>
          <w:vertAlign w:val="superscript"/>
        </w:rPr>
        <w:t>9, 17</w:t>
      </w:r>
      <w:r w:rsidR="00A324E0" w:rsidRPr="000B11F4">
        <w:t xml:space="preserve">, absent in ISAC112. In fact, </w:t>
      </w:r>
      <w:r w:rsidR="00CF1D77" w:rsidRPr="000B11F4">
        <w:t xml:space="preserve">15% of </w:t>
      </w:r>
      <w:r w:rsidR="00CF1D77" w:rsidRPr="000B11F4">
        <w:rPr>
          <w:i/>
        </w:rPr>
        <w:t>D.</w:t>
      </w:r>
      <w:r w:rsidR="000B11F4">
        <w:rPr>
          <w:i/>
        </w:rPr>
        <w:t xml:space="preserve"> pteronyssinus</w:t>
      </w:r>
      <w:r w:rsidR="00F810E0">
        <w:t>-</w:t>
      </w:r>
      <w:r w:rsidR="00CF1D77" w:rsidRPr="000B11F4">
        <w:t>allergic patients showed sensitization</w:t>
      </w:r>
      <w:r w:rsidR="00A324E0" w:rsidRPr="000B11F4">
        <w:t xml:space="preserve"> to this component without sensitization to the </w:t>
      </w:r>
      <w:r w:rsidR="00A324E0" w:rsidRPr="000B11F4">
        <w:lastRenderedPageBreak/>
        <w:t xml:space="preserve">classic major </w:t>
      </w:r>
      <w:proofErr w:type="gramStart"/>
      <w:r w:rsidR="00A324E0" w:rsidRPr="000B11F4">
        <w:t xml:space="preserve">allergens, </w:t>
      </w:r>
      <w:r w:rsidR="00F810E0">
        <w:t>and</w:t>
      </w:r>
      <w:proofErr w:type="gramEnd"/>
      <w:r w:rsidR="00F810E0">
        <w:t xml:space="preserve"> were therefor</w:t>
      </w:r>
      <w:r w:rsidR="00A324E0" w:rsidRPr="000B11F4">
        <w:t xml:space="preserve"> misdiagnosed by ISAC</w:t>
      </w:r>
      <w:r w:rsidR="000B11F4">
        <w:t>112</w:t>
      </w:r>
      <w:r w:rsidR="00A324E0" w:rsidRPr="000B11F4">
        <w:t xml:space="preserve"> (</w:t>
      </w:r>
      <w:r w:rsidR="00F810E0">
        <w:t xml:space="preserve">when </w:t>
      </w:r>
      <w:r w:rsidR="00A324E0" w:rsidRPr="000B11F4">
        <w:t xml:space="preserve">analyzing </w:t>
      </w:r>
      <w:r w:rsidR="00F810E0">
        <w:t xml:space="preserve">results for </w:t>
      </w:r>
      <w:r w:rsidR="00A324E0" w:rsidRPr="000B11F4">
        <w:t>Der p 1, Der</w:t>
      </w:r>
      <w:r w:rsidR="00F810E0">
        <w:t xml:space="preserve"> </w:t>
      </w:r>
      <w:r w:rsidR="00A324E0" w:rsidRPr="000B11F4">
        <w:t>p 2</w:t>
      </w:r>
      <w:r w:rsidR="00F810E0">
        <w:t xml:space="preserve"> and</w:t>
      </w:r>
      <w:r w:rsidR="00A324E0" w:rsidRPr="000B11F4">
        <w:t xml:space="preserve"> Der</w:t>
      </w:r>
      <w:r w:rsidR="00F810E0">
        <w:t xml:space="preserve"> </w:t>
      </w:r>
      <w:r w:rsidR="00A324E0" w:rsidRPr="000B11F4">
        <w:t xml:space="preserve">p 10). </w:t>
      </w:r>
      <w:r w:rsidRPr="000B11F4">
        <w:t>The addition of whole extracts to the sample component panels in these new platforms, also reported in other platforms</w:t>
      </w:r>
      <w:r w:rsidRPr="000B11F4">
        <w:rPr>
          <w:vertAlign w:val="superscript"/>
        </w:rPr>
        <w:t>5</w:t>
      </w:r>
      <w:r w:rsidRPr="000B11F4">
        <w:t>, seems to increase sensitivity</w:t>
      </w:r>
      <w:r>
        <w:t xml:space="preserve"> for certain allergenic sources as well. Even though ALEX2 includes whole extract detection for some allergens, these extracts belong to biological sources other than those considered in our analysis.</w:t>
      </w:r>
    </w:p>
    <w:p w14:paraId="5A5E217E" w14:textId="77777777" w:rsidR="001C332B" w:rsidRDefault="001C332B">
      <w:pPr>
        <w:spacing w:line="360" w:lineRule="auto"/>
        <w:jc w:val="both"/>
      </w:pPr>
    </w:p>
    <w:p w14:paraId="6837C0C7" w14:textId="77777777" w:rsidR="001C332B" w:rsidRDefault="008352E7">
      <w:pPr>
        <w:spacing w:line="360" w:lineRule="auto"/>
        <w:jc w:val="both"/>
        <w:rPr>
          <w:highlight w:val="yellow"/>
        </w:rPr>
      </w:pPr>
      <w:r>
        <w:t xml:space="preserve">ALEX2’s diagnostic capacity seems to be quite similar to that of ISAC112 in terms of qualitative data. Furthermore, ALEX2 is a quantitative technique showing good correlation with </w:t>
      </w:r>
      <w:proofErr w:type="spellStart"/>
      <w:r>
        <w:t>sIgE</w:t>
      </w:r>
      <w:proofErr w:type="spellEnd"/>
      <w:r>
        <w:t xml:space="preserve"> by ImmunoCAP. In terms of equivalence of </w:t>
      </w:r>
      <w:proofErr w:type="spellStart"/>
      <w:r>
        <w:t>sIgE</w:t>
      </w:r>
      <w:proofErr w:type="spellEnd"/>
      <w:r>
        <w:t xml:space="preserve">, different levels of </w:t>
      </w:r>
      <w:proofErr w:type="spellStart"/>
      <w:r>
        <w:t>sIgE</w:t>
      </w:r>
      <w:proofErr w:type="spellEnd"/>
      <w:r>
        <w:t xml:space="preserve"> have been detected using ALEX2 and ImmunoCAP. Since ImmunoCAP has shown a good agreement between the use of ng/mL and </w:t>
      </w:r>
      <w:proofErr w:type="spellStart"/>
      <w:r>
        <w:t>kU</w:t>
      </w:r>
      <w:r>
        <w:rPr>
          <w:vertAlign w:val="subscript"/>
        </w:rPr>
        <w:t>A</w:t>
      </w:r>
      <w:proofErr w:type="spellEnd"/>
      <w:r>
        <w:t xml:space="preserve">/L units as a measurement of </w:t>
      </w:r>
      <w:proofErr w:type="spellStart"/>
      <w:r>
        <w:t>sIgE</w:t>
      </w:r>
      <w:proofErr w:type="spellEnd"/>
      <w:r>
        <w:t xml:space="preserve"> by external laboratories as well</w:t>
      </w:r>
      <w:r>
        <w:rPr>
          <w:vertAlign w:val="superscript"/>
        </w:rPr>
        <w:t>18</w:t>
      </w:r>
      <w:r>
        <w:t xml:space="preserve">, we </w:t>
      </w:r>
      <w:proofErr w:type="spellStart"/>
      <w:r>
        <w:t>belive</w:t>
      </w:r>
      <w:proofErr w:type="spellEnd"/>
      <w:r>
        <w:t xml:space="preserve"> a similar external validation should be performed for ALEX2 and for different allergens and concentrations. We noted that the quantification in the upper scale of the dynamic range (over 30 </w:t>
      </w:r>
      <w:proofErr w:type="spellStart"/>
      <w:r>
        <w:t>kU</w:t>
      </w:r>
      <w:r>
        <w:rPr>
          <w:vertAlign w:val="subscript"/>
        </w:rPr>
        <w:t>A</w:t>
      </w:r>
      <w:proofErr w:type="spellEnd"/>
      <w:r>
        <w:t xml:space="preserve">/L) depicted poor linearity, suggesting that the actual dynamic range is lower than 50 </w:t>
      </w:r>
      <w:proofErr w:type="spellStart"/>
      <w:r>
        <w:t>kU</w:t>
      </w:r>
      <w:r>
        <w:rPr>
          <w:vertAlign w:val="subscript"/>
        </w:rPr>
        <w:t>A</w:t>
      </w:r>
      <w:proofErr w:type="spellEnd"/>
      <w:r>
        <w:t xml:space="preserve">/L. This has been recently reported by some authors, who suggest that the dynamic range is between 0.30 and 30-40 </w:t>
      </w:r>
      <w:proofErr w:type="spellStart"/>
      <w:r>
        <w:t>kU</w:t>
      </w:r>
      <w:r>
        <w:rPr>
          <w:vertAlign w:val="subscript"/>
        </w:rPr>
        <w:t>A</w:t>
      </w:r>
      <w:proofErr w:type="spellEnd"/>
      <w:r>
        <w:t>/L, in line with our findings</w:t>
      </w:r>
      <w:r>
        <w:rPr>
          <w:vertAlign w:val="superscript"/>
        </w:rPr>
        <w:t>8, 10</w:t>
      </w:r>
      <w:r>
        <w:t>. Nevertheless, we consider that low linearity in these value ranges is not of significant relevance, as values this high are not frequent, and linear quantification at this point is of low clinical consequence</w:t>
      </w:r>
      <w:r>
        <w:rPr>
          <w:vertAlign w:val="superscript"/>
        </w:rPr>
        <w:t>19, 20</w:t>
      </w:r>
      <w:r>
        <w:t>.</w:t>
      </w:r>
    </w:p>
    <w:p w14:paraId="3DEB829C" w14:textId="77777777" w:rsidR="001C332B" w:rsidRDefault="008352E7">
      <w:pPr>
        <w:spacing w:line="360" w:lineRule="auto"/>
      </w:pPr>
      <w:r>
        <w:rPr>
          <w:highlight w:val="green"/>
        </w:rPr>
        <w:br/>
      </w:r>
      <w:r>
        <w:t xml:space="preserve">Total </w:t>
      </w:r>
      <w:proofErr w:type="spellStart"/>
      <w:r>
        <w:t>IgE</w:t>
      </w:r>
      <w:proofErr w:type="spellEnd"/>
      <w:r>
        <w:t xml:space="preserve"> detection is comparable between ALEX2 and ImmunoCAP. Given the importance of considering total </w:t>
      </w:r>
      <w:proofErr w:type="spellStart"/>
      <w:r>
        <w:t>IgE</w:t>
      </w:r>
      <w:proofErr w:type="spellEnd"/>
      <w:r>
        <w:t xml:space="preserve"> when interpreting </w:t>
      </w:r>
      <w:proofErr w:type="spellStart"/>
      <w:r>
        <w:t>sIgE</w:t>
      </w:r>
      <w:proofErr w:type="spellEnd"/>
      <w:r>
        <w:t xml:space="preserve"> results, this may represent a cost-effective improvement over ISAC112, which requires a separate ImmunoCAP </w:t>
      </w:r>
      <w:proofErr w:type="spellStart"/>
      <w:r>
        <w:t>singleplex</w:t>
      </w:r>
      <w:proofErr w:type="spellEnd"/>
      <w:r>
        <w:t xml:space="preserve"> assay in order to measure total IgE</w:t>
      </w:r>
      <w:r>
        <w:rPr>
          <w:vertAlign w:val="superscript"/>
        </w:rPr>
        <w:t>21</w:t>
      </w:r>
      <w:r>
        <w:t>.</w:t>
      </w:r>
    </w:p>
    <w:p w14:paraId="0EFE7F3B" w14:textId="77777777" w:rsidR="001C332B" w:rsidRDefault="001C332B">
      <w:pPr>
        <w:spacing w:line="360" w:lineRule="auto"/>
        <w:rPr>
          <w:sz w:val="22"/>
          <w:szCs w:val="22"/>
          <w:highlight w:val="green"/>
        </w:rPr>
      </w:pPr>
    </w:p>
    <w:p w14:paraId="5463A4C4" w14:textId="77777777" w:rsidR="001C332B" w:rsidRDefault="008352E7">
      <w:pPr>
        <w:spacing w:line="360" w:lineRule="auto"/>
        <w:jc w:val="both"/>
      </w:pPr>
      <w:r>
        <w:t>When conducting our technical analysis, we observed that the technique exhibits good reproducibility and repeatability performance in our hands.</w:t>
      </w:r>
      <w:r w:rsidR="004A342B">
        <w:t xml:space="preserve"> As shown with intra- and inter</w:t>
      </w:r>
      <w:r w:rsidR="00AA4295">
        <w:t>-</w:t>
      </w:r>
      <w:r>
        <w:t xml:space="preserve">assay variability data, the technique generally provides robust </w:t>
      </w:r>
      <w:proofErr w:type="spellStart"/>
      <w:r>
        <w:t>sIgE</w:t>
      </w:r>
      <w:proofErr w:type="spellEnd"/>
      <w:r>
        <w:t xml:space="preserve"> values. Higher variability was observed in lower range values, since CV is highly influenced by mean value. Nevertheless, CV was quite high for some allergens such as Alt a 6. The technique also p</w:t>
      </w:r>
      <w:r w:rsidR="004A342B">
        <w:t>roved to be robust in the inter</w:t>
      </w:r>
      <w:r w:rsidR="00AA4295">
        <w:t>-</w:t>
      </w:r>
      <w:r w:rsidR="004A342B">
        <w:t>batch and inter</w:t>
      </w:r>
      <w:r w:rsidR="00AA4295">
        <w:t>-</w:t>
      </w:r>
      <w:r>
        <w:t>laboratory assessment, where most of the allergens depicted excellent results and with a very low percentage of sensitization data disagreements. As a limitation, we acknowledge that our technical analysis is not based on all the allergens available in the array, focusing only on a set of allergens of interest. Thus, overall results could slightly vary.</w:t>
      </w:r>
    </w:p>
    <w:p w14:paraId="0DB4E519" w14:textId="77777777" w:rsidR="001C332B" w:rsidRDefault="001C332B">
      <w:pPr>
        <w:spacing w:line="360" w:lineRule="auto"/>
        <w:jc w:val="both"/>
      </w:pPr>
    </w:p>
    <w:p w14:paraId="6FC5A727" w14:textId="77777777" w:rsidR="001C332B" w:rsidRDefault="008352E7">
      <w:pPr>
        <w:spacing w:line="360" w:lineRule="auto"/>
        <w:jc w:val="both"/>
        <w:rPr>
          <w:i/>
        </w:rPr>
      </w:pPr>
      <w:r>
        <w:lastRenderedPageBreak/>
        <w:t>In conclusion,</w:t>
      </w:r>
      <w:r>
        <w:rPr>
          <w:i/>
        </w:rPr>
        <w:t xml:space="preserve"> </w:t>
      </w:r>
      <w:r>
        <w:t xml:space="preserve">according to our study results, ALEX2 is a microarray showing adequate diagnostic capacity, comparable to that of the ISAC112 multiplex and ImmunoCAP </w:t>
      </w:r>
      <w:proofErr w:type="spellStart"/>
      <w:r>
        <w:t>singleplex</w:t>
      </w:r>
      <w:proofErr w:type="spellEnd"/>
      <w:r>
        <w:t xml:space="preserve">, showing </w:t>
      </w:r>
      <w:proofErr w:type="spellStart"/>
      <w:r>
        <w:t>sIgE</w:t>
      </w:r>
      <w:proofErr w:type="spellEnd"/>
      <w:r>
        <w:t xml:space="preserve"> ImmunoCAP-correlated quantitative results up to 30</w:t>
      </w:r>
      <w:r w:rsidR="00C0056E">
        <w:t xml:space="preserve"> </w:t>
      </w:r>
      <w:proofErr w:type="spellStart"/>
      <w:r>
        <w:t>k</w:t>
      </w:r>
      <w:r>
        <w:rPr>
          <w:vertAlign w:val="subscript"/>
        </w:rPr>
        <w:t>A</w:t>
      </w:r>
      <w:r>
        <w:t>U</w:t>
      </w:r>
      <w:proofErr w:type="spellEnd"/>
      <w:r>
        <w:t>/L. Furthermore, repeatability and reproducibility of the ALEX2 platform has been demonstrated. The spectrum of application of our results is limited to patients with Mediterranean sensitization profiles, so further evaluations are recommended in other regions for patients with varying allergenic exposures.</w:t>
      </w:r>
    </w:p>
    <w:p w14:paraId="0CAA706B" w14:textId="77777777" w:rsidR="001C332B" w:rsidRDefault="008352E7">
      <w:pPr>
        <w:keepNext/>
        <w:keepLines/>
        <w:pBdr>
          <w:top w:val="nil"/>
          <w:left w:val="nil"/>
          <w:bottom w:val="nil"/>
          <w:right w:val="nil"/>
          <w:between w:val="nil"/>
        </w:pBdr>
        <w:spacing w:before="240" w:line="360" w:lineRule="auto"/>
        <w:rPr>
          <w:b/>
          <w:color w:val="000000"/>
          <w:sz w:val="28"/>
          <w:szCs w:val="28"/>
        </w:rPr>
      </w:pPr>
      <w:r>
        <w:rPr>
          <w:b/>
          <w:color w:val="000000"/>
          <w:sz w:val="28"/>
          <w:szCs w:val="28"/>
        </w:rPr>
        <w:t>Contributors</w:t>
      </w:r>
    </w:p>
    <w:p w14:paraId="01A7660F" w14:textId="77777777" w:rsidR="001C332B" w:rsidRDefault="008352E7">
      <w:pPr>
        <w:pBdr>
          <w:top w:val="nil"/>
          <w:left w:val="nil"/>
          <w:bottom w:val="nil"/>
          <w:right w:val="nil"/>
          <w:between w:val="nil"/>
        </w:pBdr>
        <w:spacing w:line="360" w:lineRule="auto"/>
        <w:jc w:val="both"/>
      </w:pPr>
      <w:r>
        <w:t>PQ, C</w:t>
      </w:r>
      <w:r w:rsidR="000B11F4">
        <w:t>MD</w:t>
      </w:r>
      <w:r>
        <w:t>A and MJG equally contributed to study design. PQ, C</w:t>
      </w:r>
      <w:r w:rsidR="000B11F4">
        <w:t>MD</w:t>
      </w:r>
      <w:r>
        <w:t xml:space="preserve">A, MP, BEG, GG, NBL, MIA, </w:t>
      </w:r>
      <w:r w:rsidR="000B11F4">
        <w:t>F</w:t>
      </w:r>
      <w:r>
        <w:t>JF, CM, JB, MF and MJG contributed to participant recruitment for clinical performance assessment, and PQ, MSB, MP and MJG performed the technical analysis. PQ, MSB, C</w:t>
      </w:r>
      <w:r w:rsidR="000B11F4">
        <w:t>MD</w:t>
      </w:r>
      <w:r>
        <w:t>A and MJG organized data collection, analysis, and figure preparation. PQ, MSB, C</w:t>
      </w:r>
      <w:r w:rsidR="000B11F4">
        <w:t>MD</w:t>
      </w:r>
      <w:r>
        <w:t xml:space="preserve">A, MP, BEG, GG, NBL, MIA, </w:t>
      </w:r>
      <w:r w:rsidR="000B11F4">
        <w:t>F</w:t>
      </w:r>
      <w:r>
        <w:t>JF, CM, JB, MF and MJG contributed to the literature search and writing of the original draft of the manuscript or its critical revision.</w:t>
      </w:r>
    </w:p>
    <w:p w14:paraId="0E02EEDF" w14:textId="77777777" w:rsidR="001C332B" w:rsidRDefault="001C332B">
      <w:pPr>
        <w:pBdr>
          <w:top w:val="nil"/>
          <w:left w:val="nil"/>
          <w:bottom w:val="nil"/>
          <w:right w:val="nil"/>
          <w:between w:val="nil"/>
        </w:pBdr>
        <w:spacing w:line="360" w:lineRule="auto"/>
        <w:jc w:val="both"/>
      </w:pPr>
    </w:p>
    <w:p w14:paraId="219294F1" w14:textId="77777777" w:rsidR="001C332B" w:rsidRDefault="008352E7">
      <w:pPr>
        <w:rPr>
          <w:rFonts w:ascii="Roboto" w:eastAsia="Roboto" w:hAnsi="Roboto" w:cs="Roboto"/>
          <w:color w:val="212121"/>
        </w:rPr>
      </w:pPr>
      <w:r>
        <w:t> </w:t>
      </w:r>
    </w:p>
    <w:p w14:paraId="0F689BD0" w14:textId="77777777" w:rsidR="001C332B" w:rsidRDefault="001C332B">
      <w:pPr>
        <w:rPr>
          <w:rFonts w:ascii="Roboto" w:eastAsia="Roboto" w:hAnsi="Roboto" w:cs="Roboto"/>
          <w:color w:val="212121"/>
        </w:rPr>
        <w:sectPr w:rsidR="001C332B" w:rsidSect="003C24B8">
          <w:pgSz w:w="11906" w:h="16838"/>
          <w:pgMar w:top="1440" w:right="1134" w:bottom="1440" w:left="1134" w:header="709" w:footer="709" w:gutter="0"/>
          <w:lnNumType w:countBy="1" w:restart="continuous"/>
          <w:pgNumType w:start="1"/>
          <w:cols w:space="720"/>
          <w:docGrid w:linePitch="326"/>
        </w:sectPr>
      </w:pPr>
    </w:p>
    <w:p w14:paraId="3B2E2383" w14:textId="77777777" w:rsidR="001C332B" w:rsidRPr="008352E7" w:rsidRDefault="008352E7">
      <w:pPr>
        <w:rPr>
          <w:b/>
          <w:sz w:val="28"/>
          <w:szCs w:val="28"/>
          <w:lang w:val="es-ES"/>
        </w:rPr>
      </w:pPr>
      <w:r w:rsidRPr="008352E7">
        <w:rPr>
          <w:b/>
          <w:sz w:val="28"/>
          <w:szCs w:val="28"/>
          <w:lang w:val="es-ES"/>
        </w:rPr>
        <w:lastRenderedPageBreak/>
        <w:t>References</w:t>
      </w:r>
    </w:p>
    <w:p w14:paraId="74152979" w14:textId="77777777" w:rsidR="001C332B" w:rsidRPr="008352E7" w:rsidRDefault="001C332B">
      <w:pPr>
        <w:rPr>
          <w:lang w:val="es-ES"/>
        </w:rPr>
      </w:pPr>
    </w:p>
    <w:p w14:paraId="6AE4F70C" w14:textId="77777777" w:rsidR="001C332B" w:rsidRDefault="008352E7">
      <w:pPr>
        <w:pBdr>
          <w:top w:val="nil"/>
          <w:left w:val="nil"/>
          <w:bottom w:val="nil"/>
          <w:right w:val="nil"/>
          <w:between w:val="nil"/>
        </w:pBdr>
        <w:ind w:left="720" w:hanging="720"/>
        <w:rPr>
          <w:color w:val="000000"/>
        </w:rPr>
      </w:pPr>
      <w:r w:rsidRPr="008352E7">
        <w:rPr>
          <w:color w:val="000000"/>
          <w:lang w:val="es-ES"/>
        </w:rPr>
        <w:t>1.</w:t>
      </w:r>
      <w:r w:rsidRPr="008352E7">
        <w:rPr>
          <w:color w:val="000000"/>
          <w:lang w:val="es-ES"/>
        </w:rPr>
        <w:tab/>
        <w:t xml:space="preserve">Goikoetxea MJ, D'Amelio C M, Martínez-Aranguren R, </w:t>
      </w:r>
      <w:proofErr w:type="gramStart"/>
      <w:r w:rsidRPr="008352E7">
        <w:rPr>
          <w:color w:val="000000"/>
          <w:lang w:val="es-ES"/>
        </w:rPr>
        <w:t xml:space="preserve">Gamboa P, Garcia BE, Gómez F, et al. </w:t>
      </w:r>
      <w:r>
        <w:rPr>
          <w:color w:val="000000"/>
        </w:rPr>
        <w:t>Is Microarray Analysis Really Useful and Sufficient to Diagnose Nut Allergy in the Mediterranean Area?</w:t>
      </w:r>
      <w:proofErr w:type="gramEnd"/>
      <w:r>
        <w:rPr>
          <w:color w:val="000000"/>
        </w:rPr>
        <w:t xml:space="preserve"> J Investig Allergol Clin Immunol 2016; 26:31-9.</w:t>
      </w:r>
    </w:p>
    <w:p w14:paraId="6CE67D5E" w14:textId="77777777" w:rsidR="001C332B" w:rsidRDefault="008352E7">
      <w:pPr>
        <w:pBdr>
          <w:top w:val="nil"/>
          <w:left w:val="nil"/>
          <w:bottom w:val="nil"/>
          <w:right w:val="nil"/>
          <w:between w:val="nil"/>
        </w:pBdr>
        <w:ind w:left="720" w:hanging="720"/>
        <w:rPr>
          <w:color w:val="000000"/>
        </w:rPr>
      </w:pPr>
      <w:r>
        <w:rPr>
          <w:color w:val="000000"/>
        </w:rPr>
        <w:t>2.</w:t>
      </w:r>
      <w:r>
        <w:rPr>
          <w:color w:val="000000"/>
        </w:rPr>
        <w:tab/>
        <w:t>Salcedo G, Diaz-Perales A. Component-resolved diagnosis of allergy: more is better? Clin Exp Allergy 2010; 40:836-8.</w:t>
      </w:r>
    </w:p>
    <w:p w14:paraId="616482A5" w14:textId="77777777" w:rsidR="001C332B" w:rsidRDefault="008352E7">
      <w:pPr>
        <w:pBdr>
          <w:top w:val="nil"/>
          <w:left w:val="nil"/>
          <w:bottom w:val="nil"/>
          <w:right w:val="nil"/>
          <w:between w:val="nil"/>
        </w:pBdr>
        <w:ind w:left="720" w:hanging="720"/>
        <w:rPr>
          <w:color w:val="000000"/>
        </w:rPr>
      </w:pPr>
      <w:r>
        <w:rPr>
          <w:color w:val="000000"/>
        </w:rPr>
        <w:t>3.</w:t>
      </w:r>
      <w:r>
        <w:rPr>
          <w:color w:val="000000"/>
        </w:rPr>
        <w:tab/>
        <w:t>D'Amelio CM, Goikoetxea MJ, Martínez-Aranguren R, García BE, Gómez F, Fernández J, et al. Is the performance of ImmunoCAP ISAC 112 sufficient to diagnose peach and apple allergies? Ann Allergy Asthma Immunol 2016; 116:162-3.</w:t>
      </w:r>
    </w:p>
    <w:p w14:paraId="67F4EBC0" w14:textId="77777777" w:rsidR="001C332B" w:rsidRDefault="008352E7">
      <w:pPr>
        <w:pBdr>
          <w:top w:val="nil"/>
          <w:left w:val="nil"/>
          <w:bottom w:val="nil"/>
          <w:right w:val="nil"/>
          <w:between w:val="nil"/>
        </w:pBdr>
        <w:ind w:left="720" w:hanging="720"/>
        <w:rPr>
          <w:color w:val="000000"/>
        </w:rPr>
      </w:pPr>
      <w:r>
        <w:rPr>
          <w:color w:val="000000"/>
        </w:rPr>
        <w:t>4.</w:t>
      </w:r>
      <w:r>
        <w:rPr>
          <w:color w:val="000000"/>
        </w:rPr>
        <w:tab/>
        <w:t>Jiménez-</w:t>
      </w:r>
      <w:proofErr w:type="spellStart"/>
      <w:r>
        <w:rPr>
          <w:color w:val="000000"/>
        </w:rPr>
        <w:t>Feijoo</w:t>
      </w:r>
      <w:proofErr w:type="spellEnd"/>
      <w:r>
        <w:rPr>
          <w:color w:val="000000"/>
        </w:rPr>
        <w:t xml:space="preserve"> R, Pascal M, Moya R, </w:t>
      </w:r>
      <w:proofErr w:type="spellStart"/>
      <w:r>
        <w:rPr>
          <w:color w:val="000000"/>
        </w:rPr>
        <w:t>Riggioni</w:t>
      </w:r>
      <w:proofErr w:type="spellEnd"/>
      <w:r>
        <w:rPr>
          <w:color w:val="000000"/>
        </w:rPr>
        <w:t xml:space="preserve"> C, Domínguez O, </w:t>
      </w:r>
      <w:proofErr w:type="spellStart"/>
      <w:r>
        <w:rPr>
          <w:color w:val="000000"/>
        </w:rPr>
        <w:t>Lózano</w:t>
      </w:r>
      <w:proofErr w:type="spellEnd"/>
      <w:r>
        <w:rPr>
          <w:color w:val="000000"/>
        </w:rPr>
        <w:t xml:space="preserve"> J, et al. Molecular Diagnosis in House Dust Mite-Allergic Patients Suggests That Der p 23 Is Clinically Relevant in Asthmatic Children. J Investig Allergol Clin Immunol 2020; 30:127-32.</w:t>
      </w:r>
    </w:p>
    <w:p w14:paraId="3A050F99" w14:textId="77777777" w:rsidR="001C332B" w:rsidRDefault="008352E7">
      <w:pPr>
        <w:pBdr>
          <w:top w:val="nil"/>
          <w:left w:val="nil"/>
          <w:bottom w:val="nil"/>
          <w:right w:val="nil"/>
          <w:between w:val="nil"/>
        </w:pBdr>
        <w:ind w:left="720" w:hanging="720"/>
        <w:rPr>
          <w:color w:val="000000"/>
        </w:rPr>
      </w:pPr>
      <w:r>
        <w:rPr>
          <w:color w:val="000000"/>
        </w:rPr>
        <w:t>5.</w:t>
      </w:r>
      <w:r>
        <w:rPr>
          <w:color w:val="000000"/>
        </w:rPr>
        <w:tab/>
      </w:r>
      <w:proofErr w:type="spellStart"/>
      <w:r>
        <w:rPr>
          <w:color w:val="000000"/>
        </w:rPr>
        <w:t>Alessandri</w:t>
      </w:r>
      <w:proofErr w:type="spellEnd"/>
      <w:r>
        <w:rPr>
          <w:color w:val="000000"/>
        </w:rPr>
        <w:t xml:space="preserve"> C, Ferrara R, </w:t>
      </w:r>
      <w:proofErr w:type="spellStart"/>
      <w:r>
        <w:rPr>
          <w:color w:val="000000"/>
        </w:rPr>
        <w:t>Bernardi</w:t>
      </w:r>
      <w:proofErr w:type="spellEnd"/>
      <w:r>
        <w:rPr>
          <w:color w:val="000000"/>
        </w:rPr>
        <w:t xml:space="preserve"> ML, </w:t>
      </w:r>
      <w:proofErr w:type="spellStart"/>
      <w:r>
        <w:rPr>
          <w:color w:val="000000"/>
        </w:rPr>
        <w:t>Zennaro</w:t>
      </w:r>
      <w:proofErr w:type="spellEnd"/>
      <w:r>
        <w:rPr>
          <w:color w:val="000000"/>
        </w:rPr>
        <w:t xml:space="preserve"> D, </w:t>
      </w:r>
      <w:proofErr w:type="spellStart"/>
      <w:r>
        <w:rPr>
          <w:color w:val="000000"/>
        </w:rPr>
        <w:t>Tuppo</w:t>
      </w:r>
      <w:proofErr w:type="spellEnd"/>
      <w:r>
        <w:rPr>
          <w:color w:val="000000"/>
        </w:rPr>
        <w:t xml:space="preserve"> L, </w:t>
      </w:r>
      <w:proofErr w:type="spellStart"/>
      <w:r>
        <w:rPr>
          <w:color w:val="000000"/>
        </w:rPr>
        <w:t>Giangrieco</w:t>
      </w:r>
      <w:proofErr w:type="spellEnd"/>
      <w:r>
        <w:rPr>
          <w:color w:val="000000"/>
        </w:rPr>
        <w:t xml:space="preserve"> I, et al. Molecular approach to a patient's tailored diagnosis of the oral allergy syndrome. Clin </w:t>
      </w:r>
      <w:proofErr w:type="spellStart"/>
      <w:r>
        <w:rPr>
          <w:color w:val="000000"/>
        </w:rPr>
        <w:t>Transl</w:t>
      </w:r>
      <w:proofErr w:type="spellEnd"/>
      <w:r>
        <w:rPr>
          <w:color w:val="000000"/>
        </w:rPr>
        <w:t xml:space="preserve"> Allergy 2020; 10:22.</w:t>
      </w:r>
    </w:p>
    <w:p w14:paraId="6F343B2B" w14:textId="77777777" w:rsidR="001C332B" w:rsidRDefault="008352E7">
      <w:pPr>
        <w:pBdr>
          <w:top w:val="nil"/>
          <w:left w:val="nil"/>
          <w:bottom w:val="nil"/>
          <w:right w:val="nil"/>
          <w:between w:val="nil"/>
        </w:pBdr>
        <w:ind w:left="720" w:hanging="720"/>
        <w:rPr>
          <w:color w:val="000000"/>
        </w:rPr>
      </w:pPr>
      <w:r>
        <w:rPr>
          <w:color w:val="000000"/>
        </w:rPr>
        <w:t>6.</w:t>
      </w:r>
      <w:r>
        <w:rPr>
          <w:color w:val="000000"/>
        </w:rPr>
        <w:tab/>
      </w:r>
      <w:proofErr w:type="spellStart"/>
      <w:r>
        <w:rPr>
          <w:color w:val="000000"/>
        </w:rPr>
        <w:t>Matricardi</w:t>
      </w:r>
      <w:proofErr w:type="spellEnd"/>
      <w:r>
        <w:rPr>
          <w:color w:val="000000"/>
        </w:rPr>
        <w:t xml:space="preserve"> PM, </w:t>
      </w:r>
      <w:proofErr w:type="spellStart"/>
      <w:r>
        <w:rPr>
          <w:color w:val="000000"/>
        </w:rPr>
        <w:t>Kleine-Tebbe</w:t>
      </w:r>
      <w:proofErr w:type="spellEnd"/>
      <w:r>
        <w:rPr>
          <w:color w:val="000000"/>
        </w:rPr>
        <w:t xml:space="preserve"> J, Hoffmann HJ, </w:t>
      </w:r>
      <w:proofErr w:type="spellStart"/>
      <w:r>
        <w:rPr>
          <w:color w:val="000000"/>
        </w:rPr>
        <w:t>Valenta</w:t>
      </w:r>
      <w:proofErr w:type="spellEnd"/>
      <w:r>
        <w:rPr>
          <w:color w:val="000000"/>
        </w:rPr>
        <w:t xml:space="preserve"> R, </w:t>
      </w:r>
      <w:proofErr w:type="spellStart"/>
      <w:r>
        <w:rPr>
          <w:color w:val="000000"/>
        </w:rPr>
        <w:t>Hilger</w:t>
      </w:r>
      <w:proofErr w:type="spellEnd"/>
      <w:r>
        <w:rPr>
          <w:color w:val="000000"/>
        </w:rPr>
        <w:t xml:space="preserve"> C, </w:t>
      </w:r>
      <w:proofErr w:type="spellStart"/>
      <w:r>
        <w:rPr>
          <w:color w:val="000000"/>
        </w:rPr>
        <w:t>Hofmaier</w:t>
      </w:r>
      <w:proofErr w:type="spellEnd"/>
      <w:r>
        <w:rPr>
          <w:color w:val="000000"/>
        </w:rPr>
        <w:t xml:space="preserve"> S, et al. EAACI Molecular Allergology User's Guide. </w:t>
      </w:r>
      <w:proofErr w:type="spellStart"/>
      <w:r>
        <w:rPr>
          <w:color w:val="000000"/>
        </w:rPr>
        <w:t>Pediatr</w:t>
      </w:r>
      <w:proofErr w:type="spellEnd"/>
      <w:r>
        <w:rPr>
          <w:color w:val="000000"/>
        </w:rPr>
        <w:t xml:space="preserve"> Allergy Immunol 2016; 27 Suppl 23:1-250.</w:t>
      </w:r>
    </w:p>
    <w:p w14:paraId="41CED19D" w14:textId="77777777" w:rsidR="001C332B" w:rsidRDefault="008352E7">
      <w:pPr>
        <w:pBdr>
          <w:top w:val="nil"/>
          <w:left w:val="nil"/>
          <w:bottom w:val="nil"/>
          <w:right w:val="nil"/>
          <w:between w:val="nil"/>
        </w:pBdr>
        <w:ind w:left="720" w:hanging="720"/>
        <w:rPr>
          <w:color w:val="000000"/>
        </w:rPr>
      </w:pPr>
      <w:r>
        <w:rPr>
          <w:color w:val="000000"/>
        </w:rPr>
        <w:t>7.</w:t>
      </w:r>
      <w:r>
        <w:rPr>
          <w:color w:val="000000"/>
        </w:rPr>
        <w:tab/>
      </w:r>
      <w:proofErr w:type="spellStart"/>
      <w:r>
        <w:rPr>
          <w:color w:val="000000"/>
        </w:rPr>
        <w:t>Heffler</w:t>
      </w:r>
      <w:proofErr w:type="spellEnd"/>
      <w:r>
        <w:rPr>
          <w:color w:val="000000"/>
        </w:rPr>
        <w:t xml:space="preserve"> E, </w:t>
      </w:r>
      <w:proofErr w:type="spellStart"/>
      <w:r>
        <w:rPr>
          <w:color w:val="000000"/>
        </w:rPr>
        <w:t>Puggioni</w:t>
      </w:r>
      <w:proofErr w:type="spellEnd"/>
      <w:r>
        <w:rPr>
          <w:color w:val="000000"/>
        </w:rPr>
        <w:t xml:space="preserve"> F, </w:t>
      </w:r>
      <w:proofErr w:type="spellStart"/>
      <w:r>
        <w:rPr>
          <w:color w:val="000000"/>
        </w:rPr>
        <w:t>Peveri</w:t>
      </w:r>
      <w:proofErr w:type="spellEnd"/>
      <w:r>
        <w:rPr>
          <w:color w:val="000000"/>
        </w:rPr>
        <w:t xml:space="preserve"> S, </w:t>
      </w:r>
      <w:proofErr w:type="spellStart"/>
      <w:r>
        <w:rPr>
          <w:color w:val="000000"/>
        </w:rPr>
        <w:t>Montagni</w:t>
      </w:r>
      <w:proofErr w:type="spellEnd"/>
      <w:r>
        <w:rPr>
          <w:color w:val="000000"/>
        </w:rPr>
        <w:t xml:space="preserve"> M, </w:t>
      </w:r>
      <w:proofErr w:type="spellStart"/>
      <w:r>
        <w:rPr>
          <w:color w:val="000000"/>
        </w:rPr>
        <w:t>Canonica</w:t>
      </w:r>
      <w:proofErr w:type="spellEnd"/>
      <w:r>
        <w:rPr>
          <w:color w:val="000000"/>
        </w:rPr>
        <w:t xml:space="preserve"> GW, </w:t>
      </w:r>
      <w:proofErr w:type="spellStart"/>
      <w:r>
        <w:rPr>
          <w:color w:val="000000"/>
        </w:rPr>
        <w:t>Melioli</w:t>
      </w:r>
      <w:proofErr w:type="spellEnd"/>
      <w:r>
        <w:rPr>
          <w:color w:val="000000"/>
        </w:rPr>
        <w:t xml:space="preserve"> G. Extended </w:t>
      </w:r>
      <w:proofErr w:type="spellStart"/>
      <w:r>
        <w:rPr>
          <w:color w:val="000000"/>
        </w:rPr>
        <w:t>IgE</w:t>
      </w:r>
      <w:proofErr w:type="spellEnd"/>
      <w:r>
        <w:rPr>
          <w:color w:val="000000"/>
        </w:rPr>
        <w:t xml:space="preserve"> profile based on an allergen </w:t>
      </w:r>
      <w:proofErr w:type="spellStart"/>
      <w:r>
        <w:rPr>
          <w:color w:val="000000"/>
        </w:rPr>
        <w:t>macroarray</w:t>
      </w:r>
      <w:proofErr w:type="spellEnd"/>
      <w:r>
        <w:rPr>
          <w:color w:val="000000"/>
        </w:rPr>
        <w:t>: a novel tool for precision medicine in allergy diagnosis. World Allergy Organ J 2018; 11:7.</w:t>
      </w:r>
    </w:p>
    <w:p w14:paraId="364C4A94" w14:textId="77777777" w:rsidR="001C332B" w:rsidRDefault="008352E7">
      <w:pPr>
        <w:pBdr>
          <w:top w:val="nil"/>
          <w:left w:val="nil"/>
          <w:bottom w:val="nil"/>
          <w:right w:val="nil"/>
          <w:between w:val="nil"/>
        </w:pBdr>
        <w:ind w:left="720" w:hanging="720"/>
        <w:rPr>
          <w:color w:val="000000"/>
        </w:rPr>
      </w:pPr>
      <w:r>
        <w:rPr>
          <w:color w:val="000000"/>
        </w:rPr>
        <w:t>8.</w:t>
      </w:r>
      <w:r>
        <w:rPr>
          <w:color w:val="000000"/>
        </w:rPr>
        <w:tab/>
      </w:r>
      <w:proofErr w:type="spellStart"/>
      <w:r>
        <w:rPr>
          <w:color w:val="000000"/>
        </w:rPr>
        <w:t>Bojcukova</w:t>
      </w:r>
      <w:proofErr w:type="spellEnd"/>
      <w:r>
        <w:rPr>
          <w:color w:val="000000"/>
        </w:rPr>
        <w:t xml:space="preserve"> J, </w:t>
      </w:r>
      <w:proofErr w:type="spellStart"/>
      <w:r>
        <w:rPr>
          <w:color w:val="000000"/>
        </w:rPr>
        <w:t>Vlas</w:t>
      </w:r>
      <w:proofErr w:type="spellEnd"/>
      <w:r>
        <w:rPr>
          <w:color w:val="000000"/>
        </w:rPr>
        <w:t xml:space="preserve"> T, </w:t>
      </w:r>
      <w:proofErr w:type="spellStart"/>
      <w:r>
        <w:rPr>
          <w:color w:val="000000"/>
        </w:rPr>
        <w:t>Forstenlechner</w:t>
      </w:r>
      <w:proofErr w:type="spellEnd"/>
      <w:r>
        <w:rPr>
          <w:color w:val="000000"/>
        </w:rPr>
        <w:t xml:space="preserve"> P, </w:t>
      </w:r>
      <w:proofErr w:type="spellStart"/>
      <w:r>
        <w:rPr>
          <w:color w:val="000000"/>
        </w:rPr>
        <w:t>Panzner</w:t>
      </w:r>
      <w:proofErr w:type="spellEnd"/>
      <w:r>
        <w:rPr>
          <w:color w:val="000000"/>
        </w:rPr>
        <w:t xml:space="preserve"> P. Comparison of two multiplex arrays in the diagnostics of allergy. Clinical and Translational Allergy 2019; 9:1-6.</w:t>
      </w:r>
    </w:p>
    <w:p w14:paraId="27D5E1BD" w14:textId="77777777" w:rsidR="001C332B" w:rsidRDefault="008352E7">
      <w:pPr>
        <w:pBdr>
          <w:top w:val="nil"/>
          <w:left w:val="nil"/>
          <w:bottom w:val="nil"/>
          <w:right w:val="nil"/>
          <w:between w:val="nil"/>
        </w:pBdr>
        <w:ind w:left="720" w:hanging="720"/>
        <w:rPr>
          <w:color w:val="000000"/>
        </w:rPr>
      </w:pPr>
      <w:r>
        <w:rPr>
          <w:color w:val="000000"/>
        </w:rPr>
        <w:t>9.</w:t>
      </w:r>
      <w:r>
        <w:rPr>
          <w:color w:val="000000"/>
        </w:rPr>
        <w:tab/>
        <w:t xml:space="preserve">Koch L, </w:t>
      </w:r>
      <w:proofErr w:type="spellStart"/>
      <w:r>
        <w:rPr>
          <w:color w:val="000000"/>
        </w:rPr>
        <w:t>Laipold</w:t>
      </w:r>
      <w:proofErr w:type="spellEnd"/>
      <w:r>
        <w:rPr>
          <w:color w:val="000000"/>
        </w:rPr>
        <w:t xml:space="preserve"> K, </w:t>
      </w:r>
      <w:proofErr w:type="spellStart"/>
      <w:r>
        <w:rPr>
          <w:color w:val="000000"/>
        </w:rPr>
        <w:t>Arzt-Gradwohl</w:t>
      </w:r>
      <w:proofErr w:type="spellEnd"/>
      <w:r>
        <w:rPr>
          <w:color w:val="000000"/>
        </w:rPr>
        <w:t xml:space="preserve"> L, </w:t>
      </w:r>
      <w:proofErr w:type="spellStart"/>
      <w:r>
        <w:rPr>
          <w:color w:val="000000"/>
        </w:rPr>
        <w:t>Čerpes</w:t>
      </w:r>
      <w:proofErr w:type="spellEnd"/>
      <w:r>
        <w:rPr>
          <w:color w:val="000000"/>
        </w:rPr>
        <w:t xml:space="preserve"> U, Sturm EM, </w:t>
      </w:r>
      <w:proofErr w:type="spellStart"/>
      <w:r>
        <w:rPr>
          <w:color w:val="000000"/>
        </w:rPr>
        <w:t>Aberer</w:t>
      </w:r>
      <w:proofErr w:type="spellEnd"/>
      <w:r>
        <w:rPr>
          <w:color w:val="000000"/>
        </w:rPr>
        <w:t xml:space="preserve"> W, et al. </w:t>
      </w:r>
      <w:proofErr w:type="spellStart"/>
      <w:r>
        <w:rPr>
          <w:color w:val="000000"/>
        </w:rPr>
        <w:t>IgE</w:t>
      </w:r>
      <w:proofErr w:type="spellEnd"/>
      <w:r>
        <w:rPr>
          <w:color w:val="000000"/>
        </w:rPr>
        <w:t xml:space="preserve"> multiplex testing in house dust mite allergy is utile, and sensitivity is comparable to extract-based </w:t>
      </w:r>
      <w:proofErr w:type="spellStart"/>
      <w:r>
        <w:rPr>
          <w:color w:val="000000"/>
        </w:rPr>
        <w:t>singleplex</w:t>
      </w:r>
      <w:proofErr w:type="spellEnd"/>
      <w:r>
        <w:rPr>
          <w:color w:val="000000"/>
        </w:rPr>
        <w:t xml:space="preserve"> testing. Allergy 2020; 75:2091-4.</w:t>
      </w:r>
    </w:p>
    <w:p w14:paraId="5341DE8F" w14:textId="77777777" w:rsidR="001C332B" w:rsidRDefault="008352E7">
      <w:pPr>
        <w:pBdr>
          <w:top w:val="nil"/>
          <w:left w:val="nil"/>
          <w:bottom w:val="nil"/>
          <w:right w:val="nil"/>
          <w:between w:val="nil"/>
        </w:pBdr>
        <w:ind w:left="720" w:hanging="720"/>
        <w:rPr>
          <w:color w:val="000000"/>
        </w:rPr>
      </w:pPr>
      <w:r>
        <w:rPr>
          <w:color w:val="000000"/>
        </w:rPr>
        <w:t>10.</w:t>
      </w:r>
      <w:r>
        <w:rPr>
          <w:color w:val="000000"/>
        </w:rPr>
        <w:tab/>
        <w:t xml:space="preserve">Hoang JA, </w:t>
      </w:r>
      <w:proofErr w:type="spellStart"/>
      <w:r>
        <w:rPr>
          <w:color w:val="000000"/>
        </w:rPr>
        <w:t>Celik</w:t>
      </w:r>
      <w:proofErr w:type="spellEnd"/>
      <w:r>
        <w:rPr>
          <w:color w:val="000000"/>
        </w:rPr>
        <w:t xml:space="preserve"> A, </w:t>
      </w:r>
      <w:proofErr w:type="spellStart"/>
      <w:r>
        <w:rPr>
          <w:color w:val="000000"/>
        </w:rPr>
        <w:t>Lupinek</w:t>
      </w:r>
      <w:proofErr w:type="spellEnd"/>
      <w:r>
        <w:rPr>
          <w:color w:val="000000"/>
        </w:rPr>
        <w:t xml:space="preserve"> C, </w:t>
      </w:r>
      <w:proofErr w:type="spellStart"/>
      <w:r>
        <w:rPr>
          <w:color w:val="000000"/>
        </w:rPr>
        <w:t>Valenta</w:t>
      </w:r>
      <w:proofErr w:type="spellEnd"/>
      <w:r>
        <w:rPr>
          <w:color w:val="000000"/>
        </w:rPr>
        <w:t xml:space="preserve"> R, Duan L, Dai R, et al. Modeling the conversion between specific </w:t>
      </w:r>
      <w:proofErr w:type="spellStart"/>
      <w:r>
        <w:rPr>
          <w:color w:val="000000"/>
        </w:rPr>
        <w:t>IgE</w:t>
      </w:r>
      <w:proofErr w:type="spellEnd"/>
      <w:r>
        <w:rPr>
          <w:color w:val="000000"/>
        </w:rPr>
        <w:t xml:space="preserve"> test platforms for nut allergens in children and adolescents. Allergy 2021; 76:831-41.</w:t>
      </w:r>
    </w:p>
    <w:p w14:paraId="2103F80E" w14:textId="77777777" w:rsidR="001C332B" w:rsidRDefault="008352E7">
      <w:pPr>
        <w:pBdr>
          <w:top w:val="nil"/>
          <w:left w:val="nil"/>
          <w:bottom w:val="nil"/>
          <w:right w:val="nil"/>
          <w:between w:val="nil"/>
        </w:pBdr>
        <w:ind w:left="720" w:hanging="720"/>
        <w:rPr>
          <w:color w:val="000000"/>
        </w:rPr>
      </w:pPr>
      <w:r>
        <w:rPr>
          <w:color w:val="000000"/>
        </w:rPr>
        <w:t>11.</w:t>
      </w:r>
      <w:r>
        <w:rPr>
          <w:color w:val="000000"/>
        </w:rPr>
        <w:tab/>
        <w:t xml:space="preserve">García BE, Martínez-Aranguren R, Bernard Alonso A, </w:t>
      </w:r>
      <w:proofErr w:type="spellStart"/>
      <w:r>
        <w:rPr>
          <w:color w:val="000000"/>
        </w:rPr>
        <w:t>Gamboa</w:t>
      </w:r>
      <w:proofErr w:type="spellEnd"/>
      <w:r>
        <w:rPr>
          <w:color w:val="000000"/>
        </w:rPr>
        <w:t xml:space="preserve"> P, </w:t>
      </w:r>
      <w:proofErr w:type="spellStart"/>
      <w:r>
        <w:rPr>
          <w:color w:val="000000"/>
        </w:rPr>
        <w:t>Feo</w:t>
      </w:r>
      <w:proofErr w:type="spellEnd"/>
      <w:r>
        <w:rPr>
          <w:color w:val="000000"/>
        </w:rPr>
        <w:t xml:space="preserve"> Brito F, Bartra J, et al. Is the ISAC 112 Microarray Useful in the Diagnosis of Pollinosis in Spain? J Investig Allergol Clin Immunol 2016; 26:92-9.</w:t>
      </w:r>
    </w:p>
    <w:p w14:paraId="304FFE57" w14:textId="77777777" w:rsidR="001C332B" w:rsidRDefault="008352E7">
      <w:pPr>
        <w:pBdr>
          <w:top w:val="nil"/>
          <w:left w:val="nil"/>
          <w:bottom w:val="nil"/>
          <w:right w:val="nil"/>
          <w:between w:val="nil"/>
        </w:pBdr>
        <w:ind w:left="720" w:hanging="720"/>
        <w:rPr>
          <w:color w:val="000000"/>
        </w:rPr>
      </w:pPr>
      <w:r>
        <w:rPr>
          <w:color w:val="000000"/>
        </w:rPr>
        <w:t>12.</w:t>
      </w:r>
      <w:r>
        <w:rPr>
          <w:color w:val="000000"/>
        </w:rPr>
        <w:tab/>
        <w:t xml:space="preserve">Popescu FD, </w:t>
      </w:r>
      <w:proofErr w:type="spellStart"/>
      <w:r>
        <w:rPr>
          <w:color w:val="000000"/>
        </w:rPr>
        <w:t>Vieru</w:t>
      </w:r>
      <w:proofErr w:type="spellEnd"/>
      <w:r>
        <w:rPr>
          <w:color w:val="000000"/>
        </w:rPr>
        <w:t xml:space="preserve"> M. Precision medicine allergy immunoassay methods for assessing immunoglobulin E sensitization to aeroallergen molecules. World J </w:t>
      </w:r>
      <w:proofErr w:type="spellStart"/>
      <w:r>
        <w:rPr>
          <w:color w:val="000000"/>
        </w:rPr>
        <w:t>Methodol</w:t>
      </w:r>
      <w:proofErr w:type="spellEnd"/>
      <w:r>
        <w:rPr>
          <w:color w:val="000000"/>
        </w:rPr>
        <w:t xml:space="preserve"> 2018; 8:17-36.</w:t>
      </w:r>
    </w:p>
    <w:p w14:paraId="07DD0D80" w14:textId="77777777" w:rsidR="001C332B" w:rsidRDefault="008352E7">
      <w:pPr>
        <w:pBdr>
          <w:top w:val="nil"/>
          <w:left w:val="nil"/>
          <w:bottom w:val="nil"/>
          <w:right w:val="nil"/>
          <w:between w:val="nil"/>
        </w:pBdr>
        <w:ind w:left="720" w:hanging="720"/>
        <w:rPr>
          <w:color w:val="000000"/>
        </w:rPr>
      </w:pPr>
      <w:r>
        <w:rPr>
          <w:color w:val="000000"/>
        </w:rPr>
        <w:t>13.</w:t>
      </w:r>
      <w:r>
        <w:rPr>
          <w:color w:val="000000"/>
        </w:rPr>
        <w:tab/>
      </w:r>
      <w:proofErr w:type="spellStart"/>
      <w:r>
        <w:rPr>
          <w:color w:val="000000"/>
        </w:rPr>
        <w:t>Bonini</w:t>
      </w:r>
      <w:proofErr w:type="spellEnd"/>
      <w:r>
        <w:rPr>
          <w:color w:val="000000"/>
        </w:rPr>
        <w:t xml:space="preserve"> M, </w:t>
      </w:r>
      <w:proofErr w:type="spellStart"/>
      <w:r>
        <w:rPr>
          <w:color w:val="000000"/>
        </w:rPr>
        <w:t>Marcomini</w:t>
      </w:r>
      <w:proofErr w:type="spellEnd"/>
      <w:r>
        <w:rPr>
          <w:color w:val="000000"/>
        </w:rPr>
        <w:t xml:space="preserve"> L, </w:t>
      </w:r>
      <w:proofErr w:type="spellStart"/>
      <w:r>
        <w:rPr>
          <w:color w:val="000000"/>
        </w:rPr>
        <w:t>Gramiccioni</w:t>
      </w:r>
      <w:proofErr w:type="spellEnd"/>
      <w:r>
        <w:rPr>
          <w:color w:val="000000"/>
        </w:rPr>
        <w:t xml:space="preserve"> C, </w:t>
      </w:r>
      <w:proofErr w:type="spellStart"/>
      <w:r>
        <w:rPr>
          <w:color w:val="000000"/>
        </w:rPr>
        <w:t>Tranquilli</w:t>
      </w:r>
      <w:proofErr w:type="spellEnd"/>
      <w:r>
        <w:rPr>
          <w:color w:val="000000"/>
        </w:rPr>
        <w:t xml:space="preserve"> C, </w:t>
      </w:r>
      <w:proofErr w:type="spellStart"/>
      <w:r>
        <w:rPr>
          <w:color w:val="000000"/>
        </w:rPr>
        <w:t>Melioli</w:t>
      </w:r>
      <w:proofErr w:type="spellEnd"/>
      <w:r>
        <w:rPr>
          <w:color w:val="000000"/>
        </w:rPr>
        <w:t xml:space="preserve"> G, </w:t>
      </w:r>
      <w:proofErr w:type="spellStart"/>
      <w:r>
        <w:rPr>
          <w:color w:val="000000"/>
        </w:rPr>
        <w:t>Canonica</w:t>
      </w:r>
      <w:proofErr w:type="spellEnd"/>
      <w:r>
        <w:rPr>
          <w:color w:val="000000"/>
        </w:rPr>
        <w:t xml:space="preserve"> GW, et al. Microarray evaluation of specific </w:t>
      </w:r>
      <w:proofErr w:type="spellStart"/>
      <w:r>
        <w:rPr>
          <w:color w:val="000000"/>
        </w:rPr>
        <w:t>IgE</w:t>
      </w:r>
      <w:proofErr w:type="spellEnd"/>
      <w:r>
        <w:rPr>
          <w:color w:val="000000"/>
        </w:rPr>
        <w:t xml:space="preserve"> to allergen components in elite athletes. Allergy 2012; 67:1557-64.</w:t>
      </w:r>
    </w:p>
    <w:p w14:paraId="465B9C53" w14:textId="77777777" w:rsidR="001C332B" w:rsidRDefault="008352E7">
      <w:pPr>
        <w:pBdr>
          <w:top w:val="nil"/>
          <w:left w:val="nil"/>
          <w:bottom w:val="nil"/>
          <w:right w:val="nil"/>
          <w:between w:val="nil"/>
        </w:pBdr>
        <w:ind w:left="720" w:hanging="720"/>
        <w:rPr>
          <w:color w:val="000000"/>
        </w:rPr>
      </w:pPr>
      <w:r>
        <w:rPr>
          <w:color w:val="000000"/>
        </w:rPr>
        <w:t>14.</w:t>
      </w:r>
      <w:r>
        <w:rPr>
          <w:color w:val="000000"/>
        </w:rPr>
        <w:tab/>
        <w:t xml:space="preserve">Jeon H, Jung JH, Kim Y, Kwon Y, Kim ST. Allergen Microarrays for In Vitro Diagnostics of Allergies: Comparison with ImmunoCAP and </w:t>
      </w:r>
      <w:proofErr w:type="spellStart"/>
      <w:r>
        <w:rPr>
          <w:color w:val="000000"/>
        </w:rPr>
        <w:t>AdvanSure</w:t>
      </w:r>
      <w:proofErr w:type="spellEnd"/>
      <w:r>
        <w:rPr>
          <w:color w:val="000000"/>
        </w:rPr>
        <w:t>. Ann Lab Med 2018; 38:338-47.</w:t>
      </w:r>
    </w:p>
    <w:p w14:paraId="4388F82A" w14:textId="77777777" w:rsidR="001C332B" w:rsidRDefault="008352E7">
      <w:pPr>
        <w:pBdr>
          <w:top w:val="nil"/>
          <w:left w:val="nil"/>
          <w:bottom w:val="nil"/>
          <w:right w:val="nil"/>
          <w:between w:val="nil"/>
        </w:pBdr>
        <w:ind w:left="720" w:hanging="720"/>
        <w:rPr>
          <w:color w:val="000000"/>
        </w:rPr>
      </w:pPr>
      <w:r>
        <w:rPr>
          <w:color w:val="000000"/>
        </w:rPr>
        <w:t>15.</w:t>
      </w:r>
      <w:r>
        <w:rPr>
          <w:color w:val="000000"/>
        </w:rPr>
        <w:tab/>
      </w:r>
      <w:proofErr w:type="spellStart"/>
      <w:r>
        <w:rPr>
          <w:color w:val="000000"/>
        </w:rPr>
        <w:t>Tuppo</w:t>
      </w:r>
      <w:proofErr w:type="spellEnd"/>
      <w:r>
        <w:rPr>
          <w:color w:val="000000"/>
        </w:rPr>
        <w:t xml:space="preserve"> L, </w:t>
      </w:r>
      <w:proofErr w:type="spellStart"/>
      <w:r>
        <w:rPr>
          <w:color w:val="000000"/>
        </w:rPr>
        <w:t>Alessandri</w:t>
      </w:r>
      <w:proofErr w:type="spellEnd"/>
      <w:r>
        <w:rPr>
          <w:color w:val="000000"/>
        </w:rPr>
        <w:t xml:space="preserve"> C, </w:t>
      </w:r>
      <w:proofErr w:type="spellStart"/>
      <w:r>
        <w:rPr>
          <w:color w:val="000000"/>
        </w:rPr>
        <w:t>Giangrieco</w:t>
      </w:r>
      <w:proofErr w:type="spellEnd"/>
      <w:r>
        <w:rPr>
          <w:color w:val="000000"/>
        </w:rPr>
        <w:t xml:space="preserve"> I, </w:t>
      </w:r>
      <w:proofErr w:type="spellStart"/>
      <w:r>
        <w:rPr>
          <w:color w:val="000000"/>
        </w:rPr>
        <w:t>Ciancamerla</w:t>
      </w:r>
      <w:proofErr w:type="spellEnd"/>
      <w:r>
        <w:rPr>
          <w:color w:val="000000"/>
        </w:rPr>
        <w:t xml:space="preserve"> M, </w:t>
      </w:r>
      <w:proofErr w:type="spellStart"/>
      <w:r>
        <w:rPr>
          <w:color w:val="000000"/>
        </w:rPr>
        <w:t>Rafaiani</w:t>
      </w:r>
      <w:proofErr w:type="spellEnd"/>
      <w:r>
        <w:rPr>
          <w:color w:val="000000"/>
        </w:rPr>
        <w:t xml:space="preserve"> C, </w:t>
      </w:r>
      <w:proofErr w:type="spellStart"/>
      <w:r>
        <w:rPr>
          <w:color w:val="000000"/>
        </w:rPr>
        <w:t>Tamburrini</w:t>
      </w:r>
      <w:proofErr w:type="spellEnd"/>
      <w:r>
        <w:rPr>
          <w:color w:val="000000"/>
        </w:rPr>
        <w:t xml:space="preserve"> M, et al. Isolation of cypress gibberellin-regulated protein: Analysis of its structural features and </w:t>
      </w:r>
      <w:proofErr w:type="spellStart"/>
      <w:r>
        <w:rPr>
          <w:color w:val="000000"/>
        </w:rPr>
        <w:t>IgE</w:t>
      </w:r>
      <w:proofErr w:type="spellEnd"/>
      <w:r>
        <w:rPr>
          <w:color w:val="000000"/>
        </w:rPr>
        <w:t xml:space="preserve"> binding competition with homologous allergens. Mol Immunol 2019; 114:189-95.</w:t>
      </w:r>
    </w:p>
    <w:p w14:paraId="78A53F31" w14:textId="77777777" w:rsidR="001C332B" w:rsidRDefault="008352E7">
      <w:pPr>
        <w:pBdr>
          <w:top w:val="nil"/>
          <w:left w:val="nil"/>
          <w:bottom w:val="nil"/>
          <w:right w:val="nil"/>
          <w:between w:val="nil"/>
        </w:pBdr>
        <w:ind w:left="720" w:hanging="720"/>
        <w:rPr>
          <w:color w:val="000000"/>
        </w:rPr>
      </w:pPr>
      <w:r>
        <w:rPr>
          <w:color w:val="000000"/>
        </w:rPr>
        <w:t>16.</w:t>
      </w:r>
      <w:r>
        <w:rPr>
          <w:color w:val="000000"/>
        </w:rPr>
        <w:tab/>
      </w:r>
      <w:proofErr w:type="spellStart"/>
      <w:r>
        <w:rPr>
          <w:color w:val="000000"/>
        </w:rPr>
        <w:t>Barderas</w:t>
      </w:r>
      <w:proofErr w:type="spellEnd"/>
      <w:r>
        <w:rPr>
          <w:color w:val="000000"/>
        </w:rPr>
        <w:t xml:space="preserve"> R, Purohit A, Papanikolaou I, Rodríguez R, Pauli G, Villalba M. Cloning, expression, and clinical significance of the major allergen from ash pollen, Fra e 1. J Allergy Clin Immunol 2005; 115:351-7.</w:t>
      </w:r>
    </w:p>
    <w:p w14:paraId="76763621" w14:textId="77777777" w:rsidR="001C332B" w:rsidRPr="008352E7" w:rsidRDefault="008352E7">
      <w:pPr>
        <w:pBdr>
          <w:top w:val="nil"/>
          <w:left w:val="nil"/>
          <w:bottom w:val="nil"/>
          <w:right w:val="nil"/>
          <w:between w:val="nil"/>
        </w:pBdr>
        <w:ind w:left="720" w:hanging="720"/>
        <w:rPr>
          <w:color w:val="000000"/>
          <w:lang w:val="es-ES"/>
        </w:rPr>
      </w:pPr>
      <w:r>
        <w:rPr>
          <w:color w:val="000000"/>
        </w:rPr>
        <w:t>17.</w:t>
      </w:r>
      <w:r>
        <w:rPr>
          <w:color w:val="000000"/>
        </w:rPr>
        <w:tab/>
      </w:r>
      <w:proofErr w:type="spellStart"/>
      <w:r>
        <w:rPr>
          <w:color w:val="000000"/>
        </w:rPr>
        <w:t>Weghofer</w:t>
      </w:r>
      <w:proofErr w:type="spellEnd"/>
      <w:r>
        <w:rPr>
          <w:color w:val="000000"/>
        </w:rPr>
        <w:t xml:space="preserve"> M, Grote M, Resch Y, </w:t>
      </w:r>
      <w:proofErr w:type="spellStart"/>
      <w:r>
        <w:rPr>
          <w:color w:val="000000"/>
        </w:rPr>
        <w:t>Casset</w:t>
      </w:r>
      <w:proofErr w:type="spellEnd"/>
      <w:r>
        <w:rPr>
          <w:color w:val="000000"/>
        </w:rPr>
        <w:t xml:space="preserve"> A, </w:t>
      </w:r>
      <w:proofErr w:type="spellStart"/>
      <w:r>
        <w:rPr>
          <w:color w:val="000000"/>
        </w:rPr>
        <w:t>Kneidinger</w:t>
      </w:r>
      <w:proofErr w:type="spellEnd"/>
      <w:r>
        <w:rPr>
          <w:color w:val="000000"/>
        </w:rPr>
        <w:t xml:space="preserve"> M, </w:t>
      </w:r>
      <w:proofErr w:type="spellStart"/>
      <w:r>
        <w:rPr>
          <w:color w:val="000000"/>
        </w:rPr>
        <w:t>Kopec</w:t>
      </w:r>
      <w:proofErr w:type="spellEnd"/>
      <w:r>
        <w:rPr>
          <w:color w:val="000000"/>
        </w:rPr>
        <w:t xml:space="preserve"> J, et al. Identification of Der p 23, a </w:t>
      </w:r>
      <w:proofErr w:type="spellStart"/>
      <w:r>
        <w:rPr>
          <w:color w:val="000000"/>
        </w:rPr>
        <w:t>peritrophin</w:t>
      </w:r>
      <w:proofErr w:type="spellEnd"/>
      <w:r>
        <w:rPr>
          <w:color w:val="000000"/>
        </w:rPr>
        <w:t xml:space="preserve">-like protein, as a new major </w:t>
      </w:r>
      <w:proofErr w:type="spellStart"/>
      <w:r>
        <w:rPr>
          <w:color w:val="000000"/>
        </w:rPr>
        <w:t>Dermatophagoides</w:t>
      </w:r>
      <w:proofErr w:type="spellEnd"/>
      <w:r>
        <w:rPr>
          <w:color w:val="000000"/>
        </w:rPr>
        <w:t xml:space="preserve"> pteronyssinus </w:t>
      </w:r>
      <w:r>
        <w:rPr>
          <w:color w:val="000000"/>
        </w:rPr>
        <w:lastRenderedPageBreak/>
        <w:t xml:space="preserve">allergen associated with the peritrophic matrix of mite fecal pellets. </w:t>
      </w:r>
      <w:r w:rsidRPr="008352E7">
        <w:rPr>
          <w:color w:val="000000"/>
          <w:lang w:val="es-ES"/>
        </w:rPr>
        <w:t>J Immunol 2013; 190:3059-67.</w:t>
      </w:r>
    </w:p>
    <w:p w14:paraId="30078F98" w14:textId="77777777" w:rsidR="001C332B" w:rsidRDefault="008352E7">
      <w:pPr>
        <w:pBdr>
          <w:top w:val="nil"/>
          <w:left w:val="nil"/>
          <w:bottom w:val="nil"/>
          <w:right w:val="nil"/>
          <w:between w:val="nil"/>
        </w:pBdr>
        <w:ind w:left="720" w:hanging="720"/>
        <w:rPr>
          <w:color w:val="000000"/>
        </w:rPr>
      </w:pPr>
      <w:r w:rsidRPr="008352E7">
        <w:rPr>
          <w:color w:val="000000"/>
          <w:lang w:val="es-ES"/>
        </w:rPr>
        <w:t>18.</w:t>
      </w:r>
      <w:r w:rsidRPr="008352E7">
        <w:rPr>
          <w:color w:val="000000"/>
          <w:lang w:val="es-ES"/>
        </w:rPr>
        <w:tab/>
        <w:t xml:space="preserve">López-Hoyos M, Lizaso MT, Rodríguez JJ, Sanz ML, Labrador-Horrillo M, Ramos R, et al. </w:t>
      </w:r>
      <w:r>
        <w:rPr>
          <w:color w:val="000000"/>
        </w:rPr>
        <w:t>Quantitative measurement of allergen-specific immunoglobulin E levels in mass units (ng/mL): an interlaboratory comparison. J Investig Allergol Clin Immunol 2012; 22:387-9.</w:t>
      </w:r>
    </w:p>
    <w:p w14:paraId="2D1C7A95" w14:textId="77777777" w:rsidR="001C332B" w:rsidRDefault="008352E7">
      <w:pPr>
        <w:pBdr>
          <w:top w:val="nil"/>
          <w:left w:val="nil"/>
          <w:bottom w:val="nil"/>
          <w:right w:val="nil"/>
          <w:between w:val="nil"/>
        </w:pBdr>
        <w:ind w:left="720" w:hanging="720"/>
        <w:rPr>
          <w:color w:val="000000"/>
        </w:rPr>
      </w:pPr>
      <w:r>
        <w:rPr>
          <w:color w:val="000000"/>
        </w:rPr>
        <w:t>19.</w:t>
      </w:r>
      <w:r>
        <w:rPr>
          <w:color w:val="000000"/>
        </w:rPr>
        <w:tab/>
        <w:t xml:space="preserve">Soares-Weiser K, </w:t>
      </w:r>
      <w:proofErr w:type="spellStart"/>
      <w:r>
        <w:rPr>
          <w:color w:val="000000"/>
        </w:rPr>
        <w:t>Takwoingi</w:t>
      </w:r>
      <w:proofErr w:type="spellEnd"/>
      <w:r>
        <w:rPr>
          <w:color w:val="000000"/>
        </w:rPr>
        <w:t xml:space="preserve"> Y, Panesar SS, </w:t>
      </w:r>
      <w:proofErr w:type="spellStart"/>
      <w:r>
        <w:rPr>
          <w:color w:val="000000"/>
        </w:rPr>
        <w:t>Muraro</w:t>
      </w:r>
      <w:proofErr w:type="spellEnd"/>
      <w:r>
        <w:rPr>
          <w:color w:val="000000"/>
        </w:rPr>
        <w:t xml:space="preserve"> A, Werfel T, Hoffmann-</w:t>
      </w:r>
      <w:proofErr w:type="spellStart"/>
      <w:r>
        <w:rPr>
          <w:color w:val="000000"/>
        </w:rPr>
        <w:t>Sommergruber</w:t>
      </w:r>
      <w:proofErr w:type="spellEnd"/>
      <w:r>
        <w:rPr>
          <w:color w:val="000000"/>
        </w:rPr>
        <w:t xml:space="preserve"> K, et al. The diagnosis of food allergy: a systematic review and meta-analysis. Allergy 2014; 69:76-86.</w:t>
      </w:r>
    </w:p>
    <w:p w14:paraId="38978118" w14:textId="77777777" w:rsidR="001C332B" w:rsidRDefault="008352E7">
      <w:pPr>
        <w:pBdr>
          <w:top w:val="nil"/>
          <w:left w:val="nil"/>
          <w:bottom w:val="nil"/>
          <w:right w:val="nil"/>
          <w:between w:val="nil"/>
        </w:pBdr>
        <w:ind w:left="720" w:hanging="720"/>
        <w:rPr>
          <w:color w:val="000000"/>
        </w:rPr>
      </w:pPr>
      <w:r>
        <w:rPr>
          <w:color w:val="000000"/>
        </w:rPr>
        <w:t>20.</w:t>
      </w:r>
      <w:r>
        <w:rPr>
          <w:color w:val="000000"/>
        </w:rPr>
        <w:tab/>
        <w:t xml:space="preserve">Roberts G, </w:t>
      </w:r>
      <w:proofErr w:type="spellStart"/>
      <w:r>
        <w:rPr>
          <w:color w:val="000000"/>
        </w:rPr>
        <w:t>Ollert</w:t>
      </w:r>
      <w:proofErr w:type="spellEnd"/>
      <w:r>
        <w:rPr>
          <w:color w:val="000000"/>
        </w:rPr>
        <w:t xml:space="preserve"> M, </w:t>
      </w:r>
      <w:proofErr w:type="spellStart"/>
      <w:r>
        <w:rPr>
          <w:color w:val="000000"/>
        </w:rPr>
        <w:t>Aalberse</w:t>
      </w:r>
      <w:proofErr w:type="spellEnd"/>
      <w:r>
        <w:rPr>
          <w:color w:val="000000"/>
        </w:rPr>
        <w:t xml:space="preserve"> R, Austin M, </w:t>
      </w:r>
      <w:proofErr w:type="spellStart"/>
      <w:r>
        <w:rPr>
          <w:color w:val="000000"/>
        </w:rPr>
        <w:t>Custovic</w:t>
      </w:r>
      <w:proofErr w:type="spellEnd"/>
      <w:r>
        <w:rPr>
          <w:color w:val="000000"/>
        </w:rPr>
        <w:t xml:space="preserve"> A, </w:t>
      </w:r>
      <w:proofErr w:type="spellStart"/>
      <w:r>
        <w:rPr>
          <w:color w:val="000000"/>
        </w:rPr>
        <w:t>DunnGalvin</w:t>
      </w:r>
      <w:proofErr w:type="spellEnd"/>
      <w:r>
        <w:rPr>
          <w:color w:val="000000"/>
        </w:rPr>
        <w:t xml:space="preserve"> A, et al. A new framework for the interpretation of </w:t>
      </w:r>
      <w:proofErr w:type="spellStart"/>
      <w:r>
        <w:rPr>
          <w:color w:val="000000"/>
        </w:rPr>
        <w:t>IgE</w:t>
      </w:r>
      <w:proofErr w:type="spellEnd"/>
      <w:r>
        <w:rPr>
          <w:color w:val="000000"/>
        </w:rPr>
        <w:t xml:space="preserve"> sensitization tests. Allergy 2016; 71:1540-51.</w:t>
      </w:r>
    </w:p>
    <w:p w14:paraId="27403CD4" w14:textId="77777777" w:rsidR="001C332B" w:rsidRDefault="008352E7">
      <w:pPr>
        <w:pBdr>
          <w:top w:val="nil"/>
          <w:left w:val="nil"/>
          <w:bottom w:val="nil"/>
          <w:right w:val="nil"/>
          <w:between w:val="nil"/>
        </w:pBdr>
        <w:ind w:left="720" w:hanging="720"/>
        <w:rPr>
          <w:color w:val="000000"/>
        </w:rPr>
      </w:pPr>
      <w:r>
        <w:rPr>
          <w:color w:val="000000"/>
        </w:rPr>
        <w:t>21.</w:t>
      </w:r>
      <w:r>
        <w:rPr>
          <w:color w:val="000000"/>
        </w:rPr>
        <w:tab/>
      </w:r>
      <w:proofErr w:type="spellStart"/>
      <w:r>
        <w:rPr>
          <w:color w:val="000000"/>
        </w:rPr>
        <w:t>Mehl</w:t>
      </w:r>
      <w:proofErr w:type="spellEnd"/>
      <w:r>
        <w:rPr>
          <w:color w:val="000000"/>
        </w:rPr>
        <w:t xml:space="preserve"> A, </w:t>
      </w:r>
      <w:proofErr w:type="spellStart"/>
      <w:r>
        <w:rPr>
          <w:color w:val="000000"/>
        </w:rPr>
        <w:t>Verstege</w:t>
      </w:r>
      <w:proofErr w:type="spellEnd"/>
      <w:r>
        <w:rPr>
          <w:color w:val="000000"/>
        </w:rPr>
        <w:t xml:space="preserve"> A, </w:t>
      </w:r>
      <w:proofErr w:type="spellStart"/>
      <w:r>
        <w:rPr>
          <w:color w:val="000000"/>
        </w:rPr>
        <w:t>Staden</w:t>
      </w:r>
      <w:proofErr w:type="spellEnd"/>
      <w:r>
        <w:rPr>
          <w:color w:val="000000"/>
        </w:rPr>
        <w:t xml:space="preserve"> U, </w:t>
      </w:r>
      <w:proofErr w:type="spellStart"/>
      <w:r>
        <w:rPr>
          <w:color w:val="000000"/>
        </w:rPr>
        <w:t>Kulig</w:t>
      </w:r>
      <w:proofErr w:type="spellEnd"/>
      <w:r>
        <w:rPr>
          <w:color w:val="000000"/>
        </w:rPr>
        <w:t xml:space="preserve"> M, </w:t>
      </w:r>
      <w:proofErr w:type="spellStart"/>
      <w:r>
        <w:rPr>
          <w:color w:val="000000"/>
        </w:rPr>
        <w:t>Nocon</w:t>
      </w:r>
      <w:proofErr w:type="spellEnd"/>
      <w:r>
        <w:rPr>
          <w:color w:val="000000"/>
        </w:rPr>
        <w:t xml:space="preserve"> M, Beyer K, et al. Utility of the ratio of food-specific </w:t>
      </w:r>
      <w:proofErr w:type="spellStart"/>
      <w:r>
        <w:rPr>
          <w:color w:val="000000"/>
        </w:rPr>
        <w:t>IgE</w:t>
      </w:r>
      <w:proofErr w:type="spellEnd"/>
      <w:r>
        <w:rPr>
          <w:color w:val="000000"/>
        </w:rPr>
        <w:t xml:space="preserve">/total </w:t>
      </w:r>
      <w:proofErr w:type="spellStart"/>
      <w:r>
        <w:rPr>
          <w:color w:val="000000"/>
        </w:rPr>
        <w:t>IgE</w:t>
      </w:r>
      <w:proofErr w:type="spellEnd"/>
      <w:r>
        <w:rPr>
          <w:color w:val="000000"/>
        </w:rPr>
        <w:t xml:space="preserve"> in predicting symptomatic food allergy in children. Allergy 2005; 60:1034-9.</w:t>
      </w:r>
    </w:p>
    <w:p w14:paraId="666A52F3" w14:textId="77777777" w:rsidR="001C332B" w:rsidRDefault="001C332B"/>
    <w:p w14:paraId="17FD2E7D" w14:textId="77777777" w:rsidR="001C332B" w:rsidRDefault="001C332B">
      <w:pPr>
        <w:rPr>
          <w:rFonts w:ascii="Roboto" w:eastAsia="Roboto" w:hAnsi="Roboto" w:cs="Roboto"/>
          <w:color w:val="212121"/>
        </w:rPr>
        <w:sectPr w:rsidR="001C332B">
          <w:pgSz w:w="11906" w:h="16838"/>
          <w:pgMar w:top="1440" w:right="1134" w:bottom="1440" w:left="1134" w:header="709" w:footer="709" w:gutter="0"/>
          <w:cols w:space="720"/>
        </w:sectPr>
      </w:pPr>
    </w:p>
    <w:p w14:paraId="66ED2EB3" w14:textId="77777777" w:rsidR="000B11F4" w:rsidRPr="000B11F4" w:rsidRDefault="000B11F4" w:rsidP="008352E7">
      <w:pPr>
        <w:spacing w:line="276" w:lineRule="auto"/>
        <w:rPr>
          <w:b/>
          <w:sz w:val="32"/>
        </w:rPr>
      </w:pPr>
      <w:r w:rsidRPr="000B11F4">
        <w:rPr>
          <w:b/>
          <w:sz w:val="32"/>
        </w:rPr>
        <w:lastRenderedPageBreak/>
        <w:t>Tables and Figures:</w:t>
      </w:r>
    </w:p>
    <w:p w14:paraId="34257932" w14:textId="77777777" w:rsidR="000B11F4" w:rsidRDefault="000B11F4" w:rsidP="008352E7">
      <w:pPr>
        <w:spacing w:line="276" w:lineRule="auto"/>
        <w:rPr>
          <w:b/>
        </w:rPr>
      </w:pPr>
    </w:p>
    <w:p w14:paraId="1CA749C9" w14:textId="77777777" w:rsidR="008352E7" w:rsidRDefault="008352E7" w:rsidP="008352E7">
      <w:pPr>
        <w:spacing w:line="276" w:lineRule="auto"/>
        <w:rPr>
          <w:sz w:val="22"/>
          <w:szCs w:val="22"/>
        </w:rPr>
      </w:pPr>
      <w:r>
        <w:rPr>
          <w:b/>
        </w:rPr>
        <w:t>Table I.</w:t>
      </w:r>
      <w:r>
        <w:t xml:space="preserve"> </w:t>
      </w:r>
      <w:r>
        <w:rPr>
          <w:sz w:val="22"/>
          <w:szCs w:val="22"/>
        </w:rPr>
        <w:t xml:space="preserve">Sensitivity and specificity of </w:t>
      </w:r>
      <w:proofErr w:type="spellStart"/>
      <w:r>
        <w:rPr>
          <w:sz w:val="22"/>
          <w:szCs w:val="22"/>
        </w:rPr>
        <w:t>sIgE</w:t>
      </w:r>
      <w:proofErr w:type="spellEnd"/>
      <w:r>
        <w:rPr>
          <w:sz w:val="22"/>
          <w:szCs w:val="22"/>
        </w:rPr>
        <w:t xml:space="preserve"> </w:t>
      </w:r>
      <w:r w:rsidR="000B11F4">
        <w:rPr>
          <w:sz w:val="22"/>
          <w:szCs w:val="22"/>
        </w:rPr>
        <w:t>in the diagnosis of</w:t>
      </w:r>
      <w:r>
        <w:rPr>
          <w:sz w:val="22"/>
          <w:szCs w:val="22"/>
        </w:rPr>
        <w:t xml:space="preserve"> allergy to the </w:t>
      </w:r>
      <w:r w:rsidR="000B11F4">
        <w:rPr>
          <w:sz w:val="22"/>
          <w:szCs w:val="22"/>
        </w:rPr>
        <w:t>studied</w:t>
      </w:r>
      <w:r>
        <w:rPr>
          <w:sz w:val="22"/>
          <w:szCs w:val="22"/>
        </w:rPr>
        <w:t xml:space="preserve"> biological sources using ALEX2, ISAC112 and ImmunoCAP. For ALEX2 and ISAC112</w:t>
      </w:r>
      <w:r w:rsidR="000B11F4">
        <w:rPr>
          <w:sz w:val="22"/>
          <w:szCs w:val="22"/>
        </w:rPr>
        <w:t>, positivity to</w:t>
      </w:r>
      <w:r>
        <w:rPr>
          <w:sz w:val="22"/>
          <w:szCs w:val="22"/>
        </w:rPr>
        <w:t xml:space="preserve"> all</w:t>
      </w:r>
      <w:r w:rsidR="000B11F4">
        <w:rPr>
          <w:sz w:val="22"/>
          <w:szCs w:val="22"/>
        </w:rPr>
        <w:t xml:space="preserve"> or one of</w:t>
      </w:r>
      <w:r>
        <w:rPr>
          <w:sz w:val="22"/>
          <w:szCs w:val="22"/>
        </w:rPr>
        <w:t xml:space="preserve"> the components representing the studied biological source </w:t>
      </w:r>
      <w:r w:rsidR="000B11F4">
        <w:rPr>
          <w:sz w:val="22"/>
          <w:szCs w:val="22"/>
        </w:rPr>
        <w:t>was regarded as diagnost</w:t>
      </w:r>
      <w:r w:rsidR="0023095A">
        <w:rPr>
          <w:sz w:val="22"/>
          <w:szCs w:val="22"/>
        </w:rPr>
        <w:t>ic; for ImmunoCAP, positivity of</w:t>
      </w:r>
      <w:r w:rsidR="000B11F4">
        <w:rPr>
          <w:sz w:val="22"/>
          <w:szCs w:val="22"/>
        </w:rPr>
        <w:t xml:space="preserve"> </w:t>
      </w:r>
      <w:r>
        <w:rPr>
          <w:sz w:val="22"/>
          <w:szCs w:val="22"/>
        </w:rPr>
        <w:t xml:space="preserve">whole extract </w:t>
      </w:r>
      <w:proofErr w:type="spellStart"/>
      <w:r>
        <w:rPr>
          <w:sz w:val="22"/>
          <w:szCs w:val="22"/>
        </w:rPr>
        <w:t>sIgE</w:t>
      </w:r>
      <w:proofErr w:type="spellEnd"/>
      <w:r>
        <w:rPr>
          <w:sz w:val="22"/>
          <w:szCs w:val="22"/>
        </w:rPr>
        <w:t xml:space="preserve"> was </w:t>
      </w:r>
      <w:r w:rsidR="0023095A">
        <w:rPr>
          <w:sz w:val="22"/>
          <w:szCs w:val="22"/>
        </w:rPr>
        <w:t>regarded as diagnostic</w:t>
      </w:r>
      <w:r>
        <w:rPr>
          <w:sz w:val="22"/>
          <w:szCs w:val="22"/>
        </w:rPr>
        <w:t xml:space="preserve">. Se: Sensitivity, </w:t>
      </w:r>
      <w:proofErr w:type="spellStart"/>
      <w:r>
        <w:rPr>
          <w:sz w:val="22"/>
          <w:szCs w:val="22"/>
        </w:rPr>
        <w:t>Sp</w:t>
      </w:r>
      <w:proofErr w:type="spellEnd"/>
      <w:r>
        <w:rPr>
          <w:sz w:val="22"/>
          <w:szCs w:val="22"/>
        </w:rPr>
        <w:t xml:space="preserve">: Specificity. </w:t>
      </w:r>
      <w:r>
        <w:rPr>
          <w:i/>
          <w:sz w:val="22"/>
          <w:szCs w:val="22"/>
        </w:rPr>
        <w:t>P</w:t>
      </w:r>
      <w:r>
        <w:rPr>
          <w:sz w:val="22"/>
          <w:szCs w:val="22"/>
        </w:rPr>
        <w:t>&lt;0</w:t>
      </w:r>
      <w:r w:rsidR="005F5C5A">
        <w:rPr>
          <w:sz w:val="22"/>
          <w:szCs w:val="22"/>
        </w:rPr>
        <w:t xml:space="preserve">.05 are marked in bold letters. </w:t>
      </w:r>
      <w:r>
        <w:rPr>
          <w:rFonts w:ascii="Arial" w:eastAsia="Arial" w:hAnsi="Arial" w:cs="Arial"/>
          <w:color w:val="1C1D1E"/>
          <w:sz w:val="21"/>
          <w:szCs w:val="21"/>
          <w:highlight w:val="white"/>
        </w:rPr>
        <w:t>†</w:t>
      </w:r>
      <w:r>
        <w:rPr>
          <w:sz w:val="22"/>
          <w:szCs w:val="22"/>
        </w:rPr>
        <w:t xml:space="preserve"> Positive </w:t>
      </w:r>
      <w:proofErr w:type="spellStart"/>
      <w:r>
        <w:rPr>
          <w:sz w:val="22"/>
          <w:szCs w:val="22"/>
        </w:rPr>
        <w:t>sIgE</w:t>
      </w:r>
      <w:proofErr w:type="spellEnd"/>
      <w:r>
        <w:rPr>
          <w:sz w:val="22"/>
          <w:szCs w:val="22"/>
        </w:rPr>
        <w:t xml:space="preserve"> to </w:t>
      </w:r>
      <w:r>
        <w:rPr>
          <w:i/>
          <w:sz w:val="22"/>
          <w:szCs w:val="22"/>
        </w:rPr>
        <w:t>A. alternata</w:t>
      </w:r>
      <w:r>
        <w:rPr>
          <w:sz w:val="22"/>
          <w:szCs w:val="22"/>
        </w:rPr>
        <w:t xml:space="preserve"> by ImmunoCAP was an inclusion criterion for Alternaria cases, and thus Se has not been calculated. </w:t>
      </w:r>
    </w:p>
    <w:tbl>
      <w:tblPr>
        <w:tblStyle w:val="affff4"/>
        <w:tblW w:w="1408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70"/>
        <w:gridCol w:w="1844"/>
        <w:gridCol w:w="921"/>
        <w:gridCol w:w="922"/>
        <w:gridCol w:w="1559"/>
        <w:gridCol w:w="921"/>
        <w:gridCol w:w="922"/>
        <w:gridCol w:w="1417"/>
        <w:gridCol w:w="1134"/>
        <w:gridCol w:w="927"/>
        <w:gridCol w:w="928"/>
        <w:gridCol w:w="1320"/>
      </w:tblGrid>
      <w:tr w:rsidR="005F5C5A" w14:paraId="7781D50D" w14:textId="77777777" w:rsidTr="005F5C5A">
        <w:trPr>
          <w:trHeight w:val="420"/>
        </w:trPr>
        <w:tc>
          <w:tcPr>
            <w:tcW w:w="1270" w:type="dxa"/>
          </w:tcPr>
          <w:p w14:paraId="58C65698" w14:textId="77777777" w:rsidR="005F5C5A" w:rsidRDefault="005F5C5A" w:rsidP="008352E7">
            <w:pPr>
              <w:spacing w:line="276" w:lineRule="auto"/>
              <w:jc w:val="center"/>
              <w:rPr>
                <w:sz w:val="22"/>
                <w:szCs w:val="22"/>
              </w:rPr>
            </w:pPr>
            <w:r>
              <w:rPr>
                <w:sz w:val="22"/>
                <w:szCs w:val="22"/>
              </w:rPr>
              <w:t> </w:t>
            </w:r>
          </w:p>
        </w:tc>
        <w:tc>
          <w:tcPr>
            <w:tcW w:w="1844" w:type="dxa"/>
            <w:vMerge w:val="restart"/>
          </w:tcPr>
          <w:p w14:paraId="4BF4F65C" w14:textId="77777777" w:rsidR="005F5C5A" w:rsidRDefault="005F5C5A" w:rsidP="008352E7">
            <w:pPr>
              <w:spacing w:line="276" w:lineRule="auto"/>
              <w:jc w:val="center"/>
              <w:rPr>
                <w:sz w:val="22"/>
                <w:szCs w:val="22"/>
              </w:rPr>
            </w:pPr>
            <w:r>
              <w:rPr>
                <w:sz w:val="22"/>
                <w:szCs w:val="22"/>
              </w:rPr>
              <w:t> </w:t>
            </w:r>
          </w:p>
          <w:p w14:paraId="0F9C0BE7" w14:textId="77777777" w:rsidR="005F5C5A" w:rsidRDefault="005F5C5A" w:rsidP="008352E7">
            <w:pPr>
              <w:spacing w:line="276" w:lineRule="auto"/>
              <w:jc w:val="center"/>
              <w:rPr>
                <w:sz w:val="22"/>
                <w:szCs w:val="22"/>
              </w:rPr>
            </w:pPr>
            <w:r>
              <w:rPr>
                <w:b/>
                <w:sz w:val="22"/>
                <w:szCs w:val="22"/>
              </w:rPr>
              <w:t> </w:t>
            </w:r>
          </w:p>
        </w:tc>
        <w:tc>
          <w:tcPr>
            <w:tcW w:w="1843" w:type="dxa"/>
            <w:gridSpan w:val="2"/>
          </w:tcPr>
          <w:p w14:paraId="708166A5" w14:textId="77777777" w:rsidR="005F5C5A" w:rsidRDefault="005F5C5A" w:rsidP="008352E7">
            <w:pPr>
              <w:spacing w:line="276" w:lineRule="auto"/>
              <w:jc w:val="center"/>
              <w:rPr>
                <w:b/>
                <w:sz w:val="22"/>
                <w:szCs w:val="22"/>
              </w:rPr>
            </w:pPr>
            <w:r>
              <w:rPr>
                <w:b/>
                <w:sz w:val="22"/>
                <w:szCs w:val="22"/>
              </w:rPr>
              <w:t xml:space="preserve">ALEX2 </w:t>
            </w:r>
          </w:p>
        </w:tc>
        <w:tc>
          <w:tcPr>
            <w:tcW w:w="1559" w:type="dxa"/>
            <w:vMerge w:val="restart"/>
          </w:tcPr>
          <w:p w14:paraId="2F4BBDF4" w14:textId="77777777" w:rsidR="005F5C5A" w:rsidRDefault="005F5C5A" w:rsidP="008352E7">
            <w:pPr>
              <w:spacing w:line="276" w:lineRule="auto"/>
              <w:rPr>
                <w:sz w:val="22"/>
                <w:szCs w:val="22"/>
              </w:rPr>
            </w:pPr>
            <w:r>
              <w:rPr>
                <w:sz w:val="22"/>
                <w:szCs w:val="22"/>
              </w:rPr>
              <w:t> </w:t>
            </w:r>
          </w:p>
          <w:p w14:paraId="07C316C8" w14:textId="77777777" w:rsidR="005F5C5A" w:rsidRDefault="005F5C5A" w:rsidP="008352E7">
            <w:pPr>
              <w:spacing w:line="276" w:lineRule="auto"/>
              <w:rPr>
                <w:sz w:val="22"/>
                <w:szCs w:val="22"/>
              </w:rPr>
            </w:pPr>
            <w:r>
              <w:rPr>
                <w:sz w:val="22"/>
                <w:szCs w:val="22"/>
              </w:rPr>
              <w:t> </w:t>
            </w:r>
          </w:p>
        </w:tc>
        <w:tc>
          <w:tcPr>
            <w:tcW w:w="1843" w:type="dxa"/>
            <w:gridSpan w:val="2"/>
          </w:tcPr>
          <w:p w14:paraId="624DA1AA" w14:textId="77777777" w:rsidR="005F5C5A" w:rsidRDefault="005F5C5A" w:rsidP="008352E7">
            <w:pPr>
              <w:spacing w:line="276" w:lineRule="auto"/>
              <w:jc w:val="center"/>
              <w:rPr>
                <w:b/>
                <w:sz w:val="22"/>
                <w:szCs w:val="22"/>
              </w:rPr>
            </w:pPr>
            <w:r>
              <w:rPr>
                <w:b/>
                <w:sz w:val="22"/>
                <w:szCs w:val="22"/>
              </w:rPr>
              <w:t xml:space="preserve">ISAC112 </w:t>
            </w:r>
          </w:p>
        </w:tc>
        <w:tc>
          <w:tcPr>
            <w:tcW w:w="1417" w:type="dxa"/>
            <w:vMerge w:val="restart"/>
          </w:tcPr>
          <w:p w14:paraId="573FDAA3" w14:textId="77777777" w:rsidR="005F5C5A" w:rsidRDefault="005F5C5A" w:rsidP="008352E7">
            <w:pPr>
              <w:spacing w:line="276" w:lineRule="auto"/>
              <w:jc w:val="center"/>
              <w:rPr>
                <w:b/>
                <w:sz w:val="18"/>
                <w:szCs w:val="18"/>
              </w:rPr>
            </w:pPr>
            <w:r>
              <w:rPr>
                <w:b/>
                <w:sz w:val="18"/>
                <w:szCs w:val="18"/>
              </w:rPr>
              <w:t xml:space="preserve">ALEX2 </w:t>
            </w:r>
          </w:p>
          <w:p w14:paraId="47B37DED" w14:textId="77777777" w:rsidR="005F5C5A" w:rsidRDefault="005F5C5A" w:rsidP="008352E7">
            <w:pPr>
              <w:spacing w:line="276" w:lineRule="auto"/>
              <w:jc w:val="center"/>
              <w:rPr>
                <w:b/>
                <w:sz w:val="18"/>
                <w:szCs w:val="18"/>
              </w:rPr>
            </w:pPr>
            <w:r>
              <w:rPr>
                <w:b/>
                <w:sz w:val="18"/>
                <w:szCs w:val="18"/>
              </w:rPr>
              <w:t xml:space="preserve">vs </w:t>
            </w:r>
          </w:p>
          <w:p w14:paraId="4BF2B75A" w14:textId="77777777" w:rsidR="005F5C5A" w:rsidRDefault="005F5C5A" w:rsidP="008352E7">
            <w:pPr>
              <w:spacing w:line="276" w:lineRule="auto"/>
              <w:jc w:val="center"/>
              <w:rPr>
                <w:b/>
                <w:sz w:val="18"/>
                <w:szCs w:val="18"/>
              </w:rPr>
            </w:pPr>
            <w:r>
              <w:rPr>
                <w:b/>
                <w:sz w:val="18"/>
                <w:szCs w:val="18"/>
              </w:rPr>
              <w:t>ISAC112</w:t>
            </w:r>
          </w:p>
          <w:p w14:paraId="3970D1C3" w14:textId="77777777" w:rsidR="005F5C5A" w:rsidRDefault="005F5C5A" w:rsidP="008352E7">
            <w:pPr>
              <w:spacing w:line="276" w:lineRule="auto"/>
              <w:jc w:val="center"/>
              <w:rPr>
                <w:b/>
                <w:sz w:val="22"/>
                <w:szCs w:val="22"/>
              </w:rPr>
            </w:pPr>
          </w:p>
          <w:p w14:paraId="382BE60E" w14:textId="77777777" w:rsidR="005F5C5A" w:rsidRDefault="005F5C5A" w:rsidP="008352E7">
            <w:pPr>
              <w:spacing w:line="276" w:lineRule="auto"/>
              <w:jc w:val="center"/>
              <w:rPr>
                <w:b/>
                <w:sz w:val="12"/>
                <w:szCs w:val="12"/>
              </w:rPr>
            </w:pPr>
            <w:proofErr w:type="spellStart"/>
            <w:r w:rsidRPr="008352E7">
              <w:rPr>
                <w:b/>
                <w:sz w:val="14"/>
                <w:szCs w:val="12"/>
              </w:rPr>
              <w:t>McNemmar</w:t>
            </w:r>
            <w:proofErr w:type="spellEnd"/>
            <w:r w:rsidRPr="008352E7">
              <w:rPr>
                <w:b/>
                <w:sz w:val="14"/>
                <w:szCs w:val="12"/>
              </w:rPr>
              <w:t xml:space="preserve"> test p</w:t>
            </w:r>
          </w:p>
        </w:tc>
        <w:tc>
          <w:tcPr>
            <w:tcW w:w="1134" w:type="dxa"/>
            <w:vMerge w:val="restart"/>
          </w:tcPr>
          <w:p w14:paraId="0725741E" w14:textId="77777777" w:rsidR="005F5C5A" w:rsidRDefault="005F5C5A" w:rsidP="008352E7">
            <w:pPr>
              <w:spacing w:line="276" w:lineRule="auto"/>
              <w:jc w:val="center"/>
              <w:rPr>
                <w:b/>
                <w:sz w:val="22"/>
                <w:szCs w:val="22"/>
              </w:rPr>
            </w:pPr>
          </w:p>
        </w:tc>
        <w:tc>
          <w:tcPr>
            <w:tcW w:w="1855" w:type="dxa"/>
            <w:gridSpan w:val="2"/>
          </w:tcPr>
          <w:p w14:paraId="42E44BE2" w14:textId="77777777" w:rsidR="005F5C5A" w:rsidRDefault="005F5C5A" w:rsidP="008352E7">
            <w:pPr>
              <w:spacing w:line="276" w:lineRule="auto"/>
              <w:jc w:val="center"/>
              <w:rPr>
                <w:b/>
                <w:sz w:val="22"/>
                <w:szCs w:val="22"/>
              </w:rPr>
            </w:pPr>
            <w:r>
              <w:rPr>
                <w:b/>
                <w:sz w:val="22"/>
                <w:szCs w:val="22"/>
              </w:rPr>
              <w:t>Whole extract ImmunoCAP</w:t>
            </w:r>
          </w:p>
        </w:tc>
        <w:tc>
          <w:tcPr>
            <w:tcW w:w="1320" w:type="dxa"/>
            <w:vMerge w:val="restart"/>
          </w:tcPr>
          <w:p w14:paraId="4B4004A7" w14:textId="77777777" w:rsidR="005F5C5A" w:rsidRDefault="005F5C5A" w:rsidP="008352E7">
            <w:pPr>
              <w:spacing w:line="276" w:lineRule="auto"/>
              <w:jc w:val="center"/>
              <w:rPr>
                <w:b/>
                <w:sz w:val="18"/>
                <w:szCs w:val="18"/>
              </w:rPr>
            </w:pPr>
            <w:r>
              <w:rPr>
                <w:b/>
                <w:sz w:val="18"/>
                <w:szCs w:val="18"/>
              </w:rPr>
              <w:t xml:space="preserve">ALEX2 </w:t>
            </w:r>
          </w:p>
          <w:p w14:paraId="71FF558E" w14:textId="77777777" w:rsidR="005F5C5A" w:rsidRDefault="005F5C5A" w:rsidP="008352E7">
            <w:pPr>
              <w:spacing w:line="276" w:lineRule="auto"/>
              <w:jc w:val="center"/>
              <w:rPr>
                <w:b/>
                <w:sz w:val="18"/>
                <w:szCs w:val="18"/>
              </w:rPr>
            </w:pPr>
            <w:r>
              <w:rPr>
                <w:b/>
                <w:sz w:val="18"/>
                <w:szCs w:val="18"/>
              </w:rPr>
              <w:t>vs ImmunoCAP</w:t>
            </w:r>
          </w:p>
          <w:p w14:paraId="6B820F16" w14:textId="77777777" w:rsidR="005F5C5A" w:rsidRDefault="005F5C5A" w:rsidP="008352E7">
            <w:pPr>
              <w:spacing w:line="276" w:lineRule="auto"/>
              <w:jc w:val="center"/>
              <w:rPr>
                <w:b/>
                <w:sz w:val="22"/>
                <w:szCs w:val="22"/>
              </w:rPr>
            </w:pPr>
          </w:p>
          <w:p w14:paraId="7789AB69" w14:textId="77777777" w:rsidR="005F5C5A" w:rsidRDefault="005F5C5A" w:rsidP="008352E7">
            <w:pPr>
              <w:spacing w:line="276" w:lineRule="auto"/>
              <w:jc w:val="center"/>
              <w:rPr>
                <w:b/>
                <w:sz w:val="22"/>
                <w:szCs w:val="22"/>
              </w:rPr>
            </w:pPr>
            <w:proofErr w:type="spellStart"/>
            <w:r w:rsidRPr="008352E7">
              <w:rPr>
                <w:b/>
                <w:sz w:val="14"/>
                <w:szCs w:val="12"/>
              </w:rPr>
              <w:t>McNemmar</w:t>
            </w:r>
            <w:proofErr w:type="spellEnd"/>
            <w:r w:rsidRPr="008352E7">
              <w:rPr>
                <w:b/>
                <w:sz w:val="14"/>
                <w:szCs w:val="12"/>
              </w:rPr>
              <w:t xml:space="preserve"> test p</w:t>
            </w:r>
          </w:p>
        </w:tc>
      </w:tr>
      <w:tr w:rsidR="005F5C5A" w14:paraId="20586B89" w14:textId="77777777" w:rsidTr="005F5C5A">
        <w:trPr>
          <w:trHeight w:val="238"/>
        </w:trPr>
        <w:tc>
          <w:tcPr>
            <w:tcW w:w="1270" w:type="dxa"/>
          </w:tcPr>
          <w:p w14:paraId="4AD741F1" w14:textId="77777777" w:rsidR="005F5C5A" w:rsidRDefault="005F5C5A" w:rsidP="008352E7">
            <w:pPr>
              <w:spacing w:line="276" w:lineRule="auto"/>
              <w:rPr>
                <w:b/>
                <w:sz w:val="18"/>
                <w:szCs w:val="18"/>
              </w:rPr>
            </w:pPr>
            <w:r>
              <w:rPr>
                <w:b/>
                <w:sz w:val="18"/>
                <w:szCs w:val="18"/>
              </w:rPr>
              <w:t>Biological source</w:t>
            </w:r>
          </w:p>
        </w:tc>
        <w:tc>
          <w:tcPr>
            <w:tcW w:w="1844" w:type="dxa"/>
            <w:vMerge/>
          </w:tcPr>
          <w:p w14:paraId="3F099BE2" w14:textId="77777777" w:rsidR="005F5C5A" w:rsidRDefault="005F5C5A" w:rsidP="008352E7">
            <w:pPr>
              <w:spacing w:line="276" w:lineRule="auto"/>
              <w:jc w:val="center"/>
              <w:rPr>
                <w:b/>
                <w:sz w:val="22"/>
                <w:szCs w:val="22"/>
              </w:rPr>
            </w:pPr>
          </w:p>
        </w:tc>
        <w:tc>
          <w:tcPr>
            <w:tcW w:w="921" w:type="dxa"/>
          </w:tcPr>
          <w:p w14:paraId="6EAE0511" w14:textId="77777777" w:rsidR="005F5C5A" w:rsidRDefault="005F5C5A" w:rsidP="008352E7">
            <w:pPr>
              <w:spacing w:line="276" w:lineRule="auto"/>
              <w:jc w:val="center"/>
              <w:rPr>
                <w:b/>
                <w:sz w:val="22"/>
                <w:szCs w:val="22"/>
              </w:rPr>
            </w:pPr>
            <w:r>
              <w:rPr>
                <w:b/>
                <w:sz w:val="22"/>
                <w:szCs w:val="22"/>
              </w:rPr>
              <w:t>Se</w:t>
            </w:r>
          </w:p>
        </w:tc>
        <w:tc>
          <w:tcPr>
            <w:tcW w:w="922" w:type="dxa"/>
          </w:tcPr>
          <w:p w14:paraId="25054075" w14:textId="77777777" w:rsidR="005F5C5A" w:rsidRDefault="005F5C5A" w:rsidP="008352E7">
            <w:pPr>
              <w:spacing w:line="276" w:lineRule="auto"/>
              <w:jc w:val="center"/>
              <w:rPr>
                <w:b/>
                <w:sz w:val="22"/>
                <w:szCs w:val="22"/>
              </w:rPr>
            </w:pPr>
            <w:proofErr w:type="spellStart"/>
            <w:r>
              <w:rPr>
                <w:b/>
                <w:sz w:val="22"/>
                <w:szCs w:val="22"/>
              </w:rPr>
              <w:t>Sp</w:t>
            </w:r>
            <w:proofErr w:type="spellEnd"/>
          </w:p>
        </w:tc>
        <w:tc>
          <w:tcPr>
            <w:tcW w:w="1559" w:type="dxa"/>
            <w:vMerge/>
          </w:tcPr>
          <w:p w14:paraId="558695E7" w14:textId="77777777" w:rsidR="005F5C5A" w:rsidRDefault="005F5C5A" w:rsidP="008352E7">
            <w:pPr>
              <w:widowControl w:val="0"/>
              <w:spacing w:line="276" w:lineRule="auto"/>
              <w:rPr>
                <w:b/>
                <w:sz w:val="22"/>
                <w:szCs w:val="22"/>
              </w:rPr>
            </w:pPr>
          </w:p>
        </w:tc>
        <w:tc>
          <w:tcPr>
            <w:tcW w:w="921" w:type="dxa"/>
          </w:tcPr>
          <w:p w14:paraId="2731B11C" w14:textId="77777777" w:rsidR="005F5C5A" w:rsidRDefault="005F5C5A" w:rsidP="008352E7">
            <w:pPr>
              <w:spacing w:line="276" w:lineRule="auto"/>
              <w:jc w:val="center"/>
              <w:rPr>
                <w:b/>
                <w:sz w:val="22"/>
                <w:szCs w:val="22"/>
              </w:rPr>
            </w:pPr>
            <w:r>
              <w:rPr>
                <w:b/>
                <w:sz w:val="22"/>
                <w:szCs w:val="22"/>
              </w:rPr>
              <w:t>Se</w:t>
            </w:r>
          </w:p>
        </w:tc>
        <w:tc>
          <w:tcPr>
            <w:tcW w:w="922" w:type="dxa"/>
          </w:tcPr>
          <w:p w14:paraId="3864521E" w14:textId="77777777" w:rsidR="005F5C5A" w:rsidRDefault="005F5C5A" w:rsidP="008352E7">
            <w:pPr>
              <w:spacing w:line="276" w:lineRule="auto"/>
              <w:jc w:val="center"/>
              <w:rPr>
                <w:b/>
                <w:sz w:val="22"/>
                <w:szCs w:val="22"/>
              </w:rPr>
            </w:pPr>
            <w:proofErr w:type="spellStart"/>
            <w:r>
              <w:rPr>
                <w:b/>
                <w:sz w:val="22"/>
                <w:szCs w:val="22"/>
              </w:rPr>
              <w:t>Sp</w:t>
            </w:r>
            <w:proofErr w:type="spellEnd"/>
          </w:p>
        </w:tc>
        <w:tc>
          <w:tcPr>
            <w:tcW w:w="1417" w:type="dxa"/>
            <w:vMerge/>
          </w:tcPr>
          <w:p w14:paraId="7BAF25A8" w14:textId="77777777" w:rsidR="005F5C5A" w:rsidRDefault="005F5C5A" w:rsidP="008352E7">
            <w:pPr>
              <w:widowControl w:val="0"/>
              <w:spacing w:line="276" w:lineRule="auto"/>
              <w:rPr>
                <w:b/>
                <w:sz w:val="22"/>
                <w:szCs w:val="22"/>
              </w:rPr>
            </w:pPr>
          </w:p>
        </w:tc>
        <w:tc>
          <w:tcPr>
            <w:tcW w:w="1134" w:type="dxa"/>
            <w:vMerge/>
          </w:tcPr>
          <w:p w14:paraId="0944994B" w14:textId="77777777" w:rsidR="005F5C5A" w:rsidRDefault="005F5C5A" w:rsidP="008352E7">
            <w:pPr>
              <w:widowControl w:val="0"/>
              <w:spacing w:line="276" w:lineRule="auto"/>
              <w:rPr>
                <w:b/>
                <w:sz w:val="22"/>
                <w:szCs w:val="22"/>
              </w:rPr>
            </w:pPr>
          </w:p>
        </w:tc>
        <w:tc>
          <w:tcPr>
            <w:tcW w:w="927" w:type="dxa"/>
          </w:tcPr>
          <w:p w14:paraId="27B97E15" w14:textId="77777777" w:rsidR="005F5C5A" w:rsidRDefault="005F5C5A" w:rsidP="008352E7">
            <w:pPr>
              <w:spacing w:line="276" w:lineRule="auto"/>
              <w:jc w:val="center"/>
              <w:rPr>
                <w:b/>
                <w:sz w:val="22"/>
                <w:szCs w:val="22"/>
              </w:rPr>
            </w:pPr>
            <w:r>
              <w:rPr>
                <w:b/>
                <w:sz w:val="22"/>
                <w:szCs w:val="22"/>
              </w:rPr>
              <w:t>Se</w:t>
            </w:r>
          </w:p>
        </w:tc>
        <w:tc>
          <w:tcPr>
            <w:tcW w:w="928" w:type="dxa"/>
          </w:tcPr>
          <w:p w14:paraId="1226A913" w14:textId="77777777" w:rsidR="005F5C5A" w:rsidRDefault="005F5C5A" w:rsidP="008352E7">
            <w:pPr>
              <w:spacing w:line="276" w:lineRule="auto"/>
              <w:jc w:val="center"/>
              <w:rPr>
                <w:b/>
                <w:sz w:val="22"/>
                <w:szCs w:val="22"/>
              </w:rPr>
            </w:pPr>
            <w:proofErr w:type="spellStart"/>
            <w:r>
              <w:rPr>
                <w:b/>
                <w:sz w:val="22"/>
                <w:szCs w:val="22"/>
              </w:rPr>
              <w:t>Sp</w:t>
            </w:r>
            <w:proofErr w:type="spellEnd"/>
          </w:p>
        </w:tc>
        <w:tc>
          <w:tcPr>
            <w:tcW w:w="1320" w:type="dxa"/>
            <w:vMerge/>
          </w:tcPr>
          <w:p w14:paraId="7030EF47" w14:textId="77777777" w:rsidR="005F5C5A" w:rsidRDefault="005F5C5A" w:rsidP="008352E7">
            <w:pPr>
              <w:widowControl w:val="0"/>
              <w:spacing w:line="276" w:lineRule="auto"/>
              <w:rPr>
                <w:b/>
                <w:sz w:val="22"/>
                <w:szCs w:val="22"/>
              </w:rPr>
            </w:pPr>
          </w:p>
        </w:tc>
      </w:tr>
      <w:tr w:rsidR="008352E7" w14:paraId="56FC8D7C" w14:textId="77777777" w:rsidTr="005F5C5A">
        <w:trPr>
          <w:trHeight w:val="19"/>
        </w:trPr>
        <w:tc>
          <w:tcPr>
            <w:tcW w:w="1270" w:type="dxa"/>
          </w:tcPr>
          <w:p w14:paraId="7B221A3E" w14:textId="77777777" w:rsidR="001C332B" w:rsidRDefault="008352E7" w:rsidP="008352E7">
            <w:pPr>
              <w:spacing w:line="276" w:lineRule="auto"/>
              <w:jc w:val="center"/>
              <w:rPr>
                <w:b/>
                <w:sz w:val="22"/>
                <w:szCs w:val="22"/>
              </w:rPr>
            </w:pPr>
            <w:r>
              <w:rPr>
                <w:b/>
                <w:sz w:val="22"/>
                <w:szCs w:val="22"/>
              </w:rPr>
              <w:t>Cypress pollen</w:t>
            </w:r>
          </w:p>
        </w:tc>
        <w:tc>
          <w:tcPr>
            <w:tcW w:w="1844" w:type="dxa"/>
            <w:shd w:val="clear" w:color="auto" w:fill="E7E6E6"/>
          </w:tcPr>
          <w:p w14:paraId="6655B48E" w14:textId="77777777" w:rsidR="001C332B" w:rsidRDefault="008352E7" w:rsidP="008352E7">
            <w:pPr>
              <w:spacing w:line="276" w:lineRule="auto"/>
              <w:jc w:val="center"/>
              <w:rPr>
                <w:b/>
                <w:sz w:val="22"/>
                <w:szCs w:val="22"/>
              </w:rPr>
            </w:pPr>
            <w:r>
              <w:rPr>
                <w:b/>
                <w:sz w:val="22"/>
                <w:szCs w:val="22"/>
              </w:rPr>
              <w:t>Cup a 1</w:t>
            </w:r>
          </w:p>
        </w:tc>
        <w:tc>
          <w:tcPr>
            <w:tcW w:w="921" w:type="dxa"/>
          </w:tcPr>
          <w:p w14:paraId="00FCAB7E" w14:textId="77777777" w:rsidR="001C332B" w:rsidRDefault="008352E7" w:rsidP="008352E7">
            <w:pPr>
              <w:spacing w:line="276" w:lineRule="auto"/>
              <w:jc w:val="center"/>
              <w:rPr>
                <w:sz w:val="22"/>
                <w:szCs w:val="22"/>
              </w:rPr>
            </w:pPr>
            <w:r>
              <w:rPr>
                <w:sz w:val="22"/>
                <w:szCs w:val="22"/>
              </w:rPr>
              <w:t>85.7%</w:t>
            </w:r>
          </w:p>
        </w:tc>
        <w:tc>
          <w:tcPr>
            <w:tcW w:w="922" w:type="dxa"/>
          </w:tcPr>
          <w:p w14:paraId="784BB692" w14:textId="77777777" w:rsidR="001C332B" w:rsidRDefault="008352E7" w:rsidP="008352E7">
            <w:pPr>
              <w:spacing w:line="276" w:lineRule="auto"/>
              <w:jc w:val="center"/>
              <w:rPr>
                <w:sz w:val="22"/>
                <w:szCs w:val="22"/>
              </w:rPr>
            </w:pPr>
            <w:r>
              <w:rPr>
                <w:sz w:val="22"/>
                <w:szCs w:val="22"/>
              </w:rPr>
              <w:t>96.2%</w:t>
            </w:r>
          </w:p>
        </w:tc>
        <w:tc>
          <w:tcPr>
            <w:tcW w:w="1559" w:type="dxa"/>
            <w:shd w:val="clear" w:color="auto" w:fill="E7E6E6"/>
          </w:tcPr>
          <w:p w14:paraId="0BA7E8EB" w14:textId="77777777" w:rsidR="001C332B" w:rsidRDefault="008352E7" w:rsidP="008352E7">
            <w:pPr>
              <w:spacing w:line="276" w:lineRule="auto"/>
              <w:jc w:val="center"/>
              <w:rPr>
                <w:b/>
                <w:sz w:val="22"/>
                <w:szCs w:val="22"/>
              </w:rPr>
            </w:pPr>
            <w:r>
              <w:rPr>
                <w:b/>
                <w:sz w:val="22"/>
                <w:szCs w:val="22"/>
              </w:rPr>
              <w:t>Cup a 1</w:t>
            </w:r>
          </w:p>
        </w:tc>
        <w:tc>
          <w:tcPr>
            <w:tcW w:w="921" w:type="dxa"/>
          </w:tcPr>
          <w:p w14:paraId="439F3159" w14:textId="77777777" w:rsidR="001C332B" w:rsidRDefault="008352E7" w:rsidP="008352E7">
            <w:pPr>
              <w:spacing w:line="276" w:lineRule="auto"/>
              <w:jc w:val="center"/>
              <w:rPr>
                <w:sz w:val="22"/>
                <w:szCs w:val="22"/>
              </w:rPr>
            </w:pPr>
            <w:r>
              <w:rPr>
                <w:sz w:val="22"/>
                <w:szCs w:val="22"/>
              </w:rPr>
              <w:t>85.7%</w:t>
            </w:r>
          </w:p>
        </w:tc>
        <w:tc>
          <w:tcPr>
            <w:tcW w:w="922" w:type="dxa"/>
          </w:tcPr>
          <w:p w14:paraId="4D350317" w14:textId="77777777" w:rsidR="001C332B" w:rsidRDefault="008352E7" w:rsidP="008352E7">
            <w:pPr>
              <w:spacing w:line="276" w:lineRule="auto"/>
              <w:jc w:val="center"/>
              <w:rPr>
                <w:sz w:val="22"/>
                <w:szCs w:val="22"/>
              </w:rPr>
            </w:pPr>
            <w:r>
              <w:rPr>
                <w:sz w:val="22"/>
                <w:szCs w:val="22"/>
              </w:rPr>
              <w:t>92%</w:t>
            </w:r>
          </w:p>
        </w:tc>
        <w:tc>
          <w:tcPr>
            <w:tcW w:w="1417" w:type="dxa"/>
          </w:tcPr>
          <w:p w14:paraId="05C46871" w14:textId="77777777" w:rsidR="001C332B" w:rsidRDefault="008352E7" w:rsidP="008352E7">
            <w:pPr>
              <w:spacing w:line="276" w:lineRule="auto"/>
              <w:jc w:val="center"/>
              <w:rPr>
                <w:sz w:val="22"/>
                <w:szCs w:val="22"/>
              </w:rPr>
            </w:pPr>
            <w:r>
              <w:rPr>
                <w:sz w:val="22"/>
                <w:szCs w:val="22"/>
              </w:rPr>
              <w:t>1.000</w:t>
            </w:r>
          </w:p>
        </w:tc>
        <w:tc>
          <w:tcPr>
            <w:tcW w:w="1134" w:type="dxa"/>
            <w:shd w:val="clear" w:color="auto" w:fill="D9D9D9"/>
          </w:tcPr>
          <w:p w14:paraId="5AE77DC8" w14:textId="77777777" w:rsidR="001C332B" w:rsidRDefault="008352E7" w:rsidP="008352E7">
            <w:pPr>
              <w:spacing w:line="276" w:lineRule="auto"/>
              <w:jc w:val="center"/>
              <w:rPr>
                <w:b/>
                <w:sz w:val="22"/>
                <w:szCs w:val="22"/>
              </w:rPr>
            </w:pPr>
            <w:r>
              <w:rPr>
                <w:b/>
                <w:sz w:val="22"/>
                <w:szCs w:val="22"/>
              </w:rPr>
              <w:t xml:space="preserve">Cup a </w:t>
            </w:r>
          </w:p>
        </w:tc>
        <w:tc>
          <w:tcPr>
            <w:tcW w:w="927" w:type="dxa"/>
          </w:tcPr>
          <w:p w14:paraId="7DD14D7A" w14:textId="77777777" w:rsidR="001C332B" w:rsidRDefault="008352E7" w:rsidP="008352E7">
            <w:pPr>
              <w:spacing w:line="276" w:lineRule="auto"/>
              <w:jc w:val="center"/>
              <w:rPr>
                <w:sz w:val="22"/>
                <w:szCs w:val="22"/>
              </w:rPr>
            </w:pPr>
            <w:r>
              <w:rPr>
                <w:sz w:val="22"/>
                <w:szCs w:val="22"/>
              </w:rPr>
              <w:t>82.1%</w:t>
            </w:r>
          </w:p>
        </w:tc>
        <w:tc>
          <w:tcPr>
            <w:tcW w:w="928" w:type="dxa"/>
          </w:tcPr>
          <w:p w14:paraId="619629C5" w14:textId="77777777" w:rsidR="001C332B" w:rsidRDefault="008352E7" w:rsidP="008352E7">
            <w:pPr>
              <w:spacing w:line="276" w:lineRule="auto"/>
              <w:jc w:val="center"/>
              <w:rPr>
                <w:sz w:val="22"/>
                <w:szCs w:val="22"/>
              </w:rPr>
            </w:pPr>
            <w:r>
              <w:rPr>
                <w:sz w:val="22"/>
                <w:szCs w:val="22"/>
              </w:rPr>
              <w:t>96.2%</w:t>
            </w:r>
          </w:p>
        </w:tc>
        <w:tc>
          <w:tcPr>
            <w:tcW w:w="1320" w:type="dxa"/>
          </w:tcPr>
          <w:p w14:paraId="58CD4C7F" w14:textId="77777777" w:rsidR="001C332B" w:rsidRDefault="008352E7" w:rsidP="008352E7">
            <w:pPr>
              <w:spacing w:line="276" w:lineRule="auto"/>
              <w:jc w:val="center"/>
              <w:rPr>
                <w:sz w:val="22"/>
                <w:szCs w:val="22"/>
              </w:rPr>
            </w:pPr>
            <w:r>
              <w:rPr>
                <w:sz w:val="22"/>
                <w:szCs w:val="22"/>
              </w:rPr>
              <w:t>1.000</w:t>
            </w:r>
          </w:p>
        </w:tc>
      </w:tr>
      <w:tr w:rsidR="008352E7" w14:paraId="08C9C1D8" w14:textId="77777777" w:rsidTr="005F5C5A">
        <w:trPr>
          <w:trHeight w:val="19"/>
        </w:trPr>
        <w:tc>
          <w:tcPr>
            <w:tcW w:w="1270" w:type="dxa"/>
          </w:tcPr>
          <w:p w14:paraId="31CCB6B9" w14:textId="77777777" w:rsidR="001C332B" w:rsidRDefault="008352E7" w:rsidP="008352E7">
            <w:pPr>
              <w:spacing w:line="276" w:lineRule="auto"/>
              <w:jc w:val="center"/>
              <w:rPr>
                <w:b/>
                <w:sz w:val="22"/>
                <w:szCs w:val="22"/>
              </w:rPr>
            </w:pPr>
            <w:r>
              <w:rPr>
                <w:b/>
                <w:sz w:val="22"/>
                <w:szCs w:val="22"/>
              </w:rPr>
              <w:t>Grass pollen</w:t>
            </w:r>
          </w:p>
        </w:tc>
        <w:tc>
          <w:tcPr>
            <w:tcW w:w="1844" w:type="dxa"/>
            <w:shd w:val="clear" w:color="auto" w:fill="E7E6E6"/>
          </w:tcPr>
          <w:p w14:paraId="158AA788" w14:textId="77777777" w:rsidR="001C332B" w:rsidRDefault="008352E7" w:rsidP="008352E7">
            <w:pPr>
              <w:spacing w:line="276" w:lineRule="auto"/>
              <w:jc w:val="center"/>
              <w:rPr>
                <w:b/>
                <w:sz w:val="22"/>
                <w:szCs w:val="22"/>
              </w:rPr>
            </w:pPr>
            <w:proofErr w:type="spellStart"/>
            <w:r>
              <w:rPr>
                <w:b/>
                <w:sz w:val="22"/>
                <w:szCs w:val="22"/>
              </w:rPr>
              <w:t>Phl</w:t>
            </w:r>
            <w:proofErr w:type="spellEnd"/>
            <w:r>
              <w:rPr>
                <w:b/>
                <w:sz w:val="22"/>
                <w:szCs w:val="22"/>
              </w:rPr>
              <w:t xml:space="preserve"> p 1, 2, 5.0101, 6, 7, 12</w:t>
            </w:r>
          </w:p>
        </w:tc>
        <w:tc>
          <w:tcPr>
            <w:tcW w:w="921" w:type="dxa"/>
          </w:tcPr>
          <w:p w14:paraId="0349DB76" w14:textId="77777777" w:rsidR="001C332B" w:rsidRDefault="008352E7" w:rsidP="008352E7">
            <w:pPr>
              <w:spacing w:line="276" w:lineRule="auto"/>
              <w:jc w:val="center"/>
              <w:rPr>
                <w:sz w:val="22"/>
                <w:szCs w:val="22"/>
              </w:rPr>
            </w:pPr>
            <w:r>
              <w:rPr>
                <w:sz w:val="22"/>
                <w:szCs w:val="22"/>
              </w:rPr>
              <w:t>100%</w:t>
            </w:r>
          </w:p>
        </w:tc>
        <w:tc>
          <w:tcPr>
            <w:tcW w:w="922" w:type="dxa"/>
          </w:tcPr>
          <w:p w14:paraId="4374E32E" w14:textId="77777777" w:rsidR="001C332B" w:rsidRDefault="008352E7" w:rsidP="008352E7">
            <w:pPr>
              <w:spacing w:line="276" w:lineRule="auto"/>
              <w:jc w:val="center"/>
              <w:rPr>
                <w:sz w:val="22"/>
                <w:szCs w:val="22"/>
              </w:rPr>
            </w:pPr>
            <w:r>
              <w:rPr>
                <w:sz w:val="22"/>
                <w:szCs w:val="22"/>
              </w:rPr>
              <w:t>88.9%</w:t>
            </w:r>
          </w:p>
        </w:tc>
        <w:tc>
          <w:tcPr>
            <w:tcW w:w="1559" w:type="dxa"/>
            <w:shd w:val="clear" w:color="auto" w:fill="E7E6E6"/>
          </w:tcPr>
          <w:p w14:paraId="763C4715" w14:textId="77777777" w:rsidR="001C332B" w:rsidRDefault="008352E7" w:rsidP="008352E7">
            <w:pPr>
              <w:spacing w:line="276" w:lineRule="auto"/>
              <w:jc w:val="center"/>
              <w:rPr>
                <w:b/>
                <w:sz w:val="22"/>
                <w:szCs w:val="22"/>
              </w:rPr>
            </w:pPr>
            <w:proofErr w:type="spellStart"/>
            <w:r>
              <w:rPr>
                <w:b/>
                <w:sz w:val="22"/>
                <w:szCs w:val="22"/>
              </w:rPr>
              <w:t>Phl</w:t>
            </w:r>
            <w:proofErr w:type="spellEnd"/>
            <w:r>
              <w:rPr>
                <w:b/>
                <w:sz w:val="22"/>
                <w:szCs w:val="22"/>
              </w:rPr>
              <w:t xml:space="preserve"> p 1, 2, 4, 5, 6, 7, 11, 12</w:t>
            </w:r>
          </w:p>
        </w:tc>
        <w:tc>
          <w:tcPr>
            <w:tcW w:w="921" w:type="dxa"/>
          </w:tcPr>
          <w:p w14:paraId="017FECA4" w14:textId="77777777" w:rsidR="001C332B" w:rsidRDefault="008352E7" w:rsidP="008352E7">
            <w:pPr>
              <w:spacing w:line="276" w:lineRule="auto"/>
              <w:jc w:val="center"/>
              <w:rPr>
                <w:sz w:val="22"/>
                <w:szCs w:val="22"/>
              </w:rPr>
            </w:pPr>
            <w:r>
              <w:rPr>
                <w:sz w:val="22"/>
                <w:szCs w:val="22"/>
              </w:rPr>
              <w:t>96.5%</w:t>
            </w:r>
          </w:p>
        </w:tc>
        <w:tc>
          <w:tcPr>
            <w:tcW w:w="922" w:type="dxa"/>
          </w:tcPr>
          <w:p w14:paraId="23A5F45F" w14:textId="77777777" w:rsidR="001C332B" w:rsidRDefault="008352E7" w:rsidP="008352E7">
            <w:pPr>
              <w:spacing w:line="276" w:lineRule="auto"/>
              <w:jc w:val="center"/>
              <w:rPr>
                <w:sz w:val="22"/>
                <w:szCs w:val="22"/>
              </w:rPr>
            </w:pPr>
            <w:r>
              <w:rPr>
                <w:sz w:val="22"/>
                <w:szCs w:val="22"/>
              </w:rPr>
              <w:t>88.9%</w:t>
            </w:r>
          </w:p>
        </w:tc>
        <w:tc>
          <w:tcPr>
            <w:tcW w:w="1417" w:type="dxa"/>
          </w:tcPr>
          <w:p w14:paraId="309C9B1C" w14:textId="77777777" w:rsidR="001C332B" w:rsidRDefault="008352E7" w:rsidP="008352E7">
            <w:pPr>
              <w:spacing w:line="276" w:lineRule="auto"/>
              <w:jc w:val="center"/>
              <w:rPr>
                <w:sz w:val="22"/>
                <w:szCs w:val="22"/>
              </w:rPr>
            </w:pPr>
            <w:r>
              <w:rPr>
                <w:sz w:val="22"/>
                <w:szCs w:val="22"/>
              </w:rPr>
              <w:t>1.000</w:t>
            </w:r>
          </w:p>
        </w:tc>
        <w:tc>
          <w:tcPr>
            <w:tcW w:w="1134" w:type="dxa"/>
            <w:shd w:val="clear" w:color="auto" w:fill="D9D9D9"/>
          </w:tcPr>
          <w:p w14:paraId="02F741CD" w14:textId="77777777" w:rsidR="001C332B" w:rsidRDefault="008352E7" w:rsidP="008352E7">
            <w:pPr>
              <w:spacing w:line="276" w:lineRule="auto"/>
              <w:jc w:val="center"/>
              <w:rPr>
                <w:b/>
                <w:sz w:val="22"/>
                <w:szCs w:val="22"/>
              </w:rPr>
            </w:pPr>
            <w:proofErr w:type="spellStart"/>
            <w:r>
              <w:rPr>
                <w:b/>
                <w:sz w:val="22"/>
                <w:szCs w:val="22"/>
              </w:rPr>
              <w:t>Phl</w:t>
            </w:r>
            <w:proofErr w:type="spellEnd"/>
            <w:r>
              <w:rPr>
                <w:b/>
                <w:sz w:val="22"/>
                <w:szCs w:val="22"/>
              </w:rPr>
              <w:t xml:space="preserve"> p</w:t>
            </w:r>
          </w:p>
        </w:tc>
        <w:tc>
          <w:tcPr>
            <w:tcW w:w="927" w:type="dxa"/>
          </w:tcPr>
          <w:p w14:paraId="62A40F47" w14:textId="77777777" w:rsidR="001C332B" w:rsidRDefault="008352E7" w:rsidP="008352E7">
            <w:pPr>
              <w:spacing w:line="276" w:lineRule="auto"/>
              <w:jc w:val="center"/>
              <w:rPr>
                <w:sz w:val="22"/>
                <w:szCs w:val="22"/>
              </w:rPr>
            </w:pPr>
            <w:r>
              <w:rPr>
                <w:sz w:val="22"/>
                <w:szCs w:val="22"/>
              </w:rPr>
              <w:t>96.4%</w:t>
            </w:r>
          </w:p>
        </w:tc>
        <w:tc>
          <w:tcPr>
            <w:tcW w:w="928" w:type="dxa"/>
          </w:tcPr>
          <w:p w14:paraId="4AEB0906" w14:textId="77777777" w:rsidR="001C332B" w:rsidRDefault="008352E7" w:rsidP="008352E7">
            <w:pPr>
              <w:spacing w:line="276" w:lineRule="auto"/>
              <w:jc w:val="center"/>
              <w:rPr>
                <w:sz w:val="22"/>
                <w:szCs w:val="22"/>
              </w:rPr>
            </w:pPr>
            <w:r>
              <w:rPr>
                <w:sz w:val="22"/>
                <w:szCs w:val="22"/>
              </w:rPr>
              <w:t>92.3%</w:t>
            </w:r>
          </w:p>
        </w:tc>
        <w:tc>
          <w:tcPr>
            <w:tcW w:w="1320" w:type="dxa"/>
          </w:tcPr>
          <w:p w14:paraId="35C60565" w14:textId="77777777" w:rsidR="001C332B" w:rsidRDefault="008352E7" w:rsidP="008352E7">
            <w:pPr>
              <w:spacing w:line="276" w:lineRule="auto"/>
              <w:jc w:val="center"/>
              <w:rPr>
                <w:sz w:val="22"/>
                <w:szCs w:val="22"/>
              </w:rPr>
            </w:pPr>
            <w:r>
              <w:rPr>
                <w:sz w:val="22"/>
                <w:szCs w:val="22"/>
              </w:rPr>
              <w:t>0.500</w:t>
            </w:r>
          </w:p>
        </w:tc>
      </w:tr>
      <w:tr w:rsidR="008352E7" w14:paraId="24E06DAC" w14:textId="77777777" w:rsidTr="005F5C5A">
        <w:trPr>
          <w:trHeight w:val="19"/>
        </w:trPr>
        <w:tc>
          <w:tcPr>
            <w:tcW w:w="1270" w:type="dxa"/>
          </w:tcPr>
          <w:p w14:paraId="3F1E4041" w14:textId="77777777" w:rsidR="001C332B" w:rsidRDefault="008352E7" w:rsidP="008352E7">
            <w:pPr>
              <w:spacing w:line="276" w:lineRule="auto"/>
              <w:jc w:val="center"/>
              <w:rPr>
                <w:b/>
                <w:sz w:val="22"/>
                <w:szCs w:val="22"/>
              </w:rPr>
            </w:pPr>
            <w:r>
              <w:rPr>
                <w:b/>
                <w:sz w:val="22"/>
                <w:szCs w:val="22"/>
              </w:rPr>
              <w:t>Olive pollen</w:t>
            </w:r>
          </w:p>
        </w:tc>
        <w:tc>
          <w:tcPr>
            <w:tcW w:w="1844" w:type="dxa"/>
            <w:shd w:val="clear" w:color="auto" w:fill="E7E6E6"/>
          </w:tcPr>
          <w:p w14:paraId="0693CDB7" w14:textId="77777777" w:rsidR="001C332B" w:rsidRDefault="008352E7" w:rsidP="008352E7">
            <w:pPr>
              <w:spacing w:line="276" w:lineRule="auto"/>
              <w:jc w:val="center"/>
              <w:rPr>
                <w:b/>
                <w:sz w:val="22"/>
                <w:szCs w:val="22"/>
              </w:rPr>
            </w:pPr>
            <w:r>
              <w:rPr>
                <w:b/>
                <w:sz w:val="22"/>
                <w:szCs w:val="22"/>
              </w:rPr>
              <w:t>Ole e 1, 7, 9</w:t>
            </w:r>
          </w:p>
        </w:tc>
        <w:tc>
          <w:tcPr>
            <w:tcW w:w="921" w:type="dxa"/>
          </w:tcPr>
          <w:p w14:paraId="6F479F9F" w14:textId="77777777" w:rsidR="001C332B" w:rsidRDefault="008352E7" w:rsidP="008352E7">
            <w:pPr>
              <w:spacing w:line="276" w:lineRule="auto"/>
              <w:jc w:val="center"/>
              <w:rPr>
                <w:sz w:val="22"/>
                <w:szCs w:val="22"/>
              </w:rPr>
            </w:pPr>
            <w:r>
              <w:rPr>
                <w:sz w:val="22"/>
                <w:szCs w:val="22"/>
              </w:rPr>
              <w:t>55.5%</w:t>
            </w:r>
          </w:p>
        </w:tc>
        <w:tc>
          <w:tcPr>
            <w:tcW w:w="922" w:type="dxa"/>
          </w:tcPr>
          <w:p w14:paraId="29C3952B" w14:textId="77777777" w:rsidR="001C332B" w:rsidRDefault="008352E7" w:rsidP="008352E7">
            <w:pPr>
              <w:spacing w:line="276" w:lineRule="auto"/>
              <w:jc w:val="center"/>
              <w:rPr>
                <w:sz w:val="22"/>
                <w:szCs w:val="22"/>
              </w:rPr>
            </w:pPr>
            <w:r>
              <w:rPr>
                <w:sz w:val="22"/>
                <w:szCs w:val="22"/>
              </w:rPr>
              <w:t>96.8%</w:t>
            </w:r>
          </w:p>
        </w:tc>
        <w:tc>
          <w:tcPr>
            <w:tcW w:w="1559" w:type="dxa"/>
            <w:shd w:val="clear" w:color="auto" w:fill="E7E6E6"/>
          </w:tcPr>
          <w:p w14:paraId="4F3E5695" w14:textId="77777777" w:rsidR="001C332B" w:rsidRDefault="008352E7" w:rsidP="008352E7">
            <w:pPr>
              <w:spacing w:line="276" w:lineRule="auto"/>
              <w:jc w:val="center"/>
              <w:rPr>
                <w:b/>
                <w:sz w:val="22"/>
                <w:szCs w:val="22"/>
              </w:rPr>
            </w:pPr>
            <w:r>
              <w:rPr>
                <w:b/>
                <w:sz w:val="22"/>
                <w:szCs w:val="22"/>
              </w:rPr>
              <w:t>Ole e 1, 7, 9</w:t>
            </w:r>
          </w:p>
        </w:tc>
        <w:tc>
          <w:tcPr>
            <w:tcW w:w="921" w:type="dxa"/>
          </w:tcPr>
          <w:p w14:paraId="258C624E" w14:textId="77777777" w:rsidR="001C332B" w:rsidRDefault="008352E7" w:rsidP="008352E7">
            <w:pPr>
              <w:spacing w:line="276" w:lineRule="auto"/>
              <w:jc w:val="center"/>
              <w:rPr>
                <w:sz w:val="22"/>
                <w:szCs w:val="22"/>
              </w:rPr>
            </w:pPr>
            <w:r>
              <w:rPr>
                <w:sz w:val="22"/>
                <w:szCs w:val="22"/>
              </w:rPr>
              <w:t>85.2%</w:t>
            </w:r>
          </w:p>
        </w:tc>
        <w:tc>
          <w:tcPr>
            <w:tcW w:w="922" w:type="dxa"/>
          </w:tcPr>
          <w:p w14:paraId="15A40B74" w14:textId="77777777" w:rsidR="001C332B" w:rsidRDefault="008352E7" w:rsidP="008352E7">
            <w:pPr>
              <w:spacing w:line="276" w:lineRule="auto"/>
              <w:jc w:val="center"/>
              <w:rPr>
                <w:sz w:val="22"/>
                <w:szCs w:val="22"/>
              </w:rPr>
            </w:pPr>
            <w:r>
              <w:rPr>
                <w:sz w:val="22"/>
                <w:szCs w:val="22"/>
              </w:rPr>
              <w:t>90.3%</w:t>
            </w:r>
          </w:p>
        </w:tc>
        <w:tc>
          <w:tcPr>
            <w:tcW w:w="1417" w:type="dxa"/>
          </w:tcPr>
          <w:p w14:paraId="51580EB2" w14:textId="77777777" w:rsidR="001C332B" w:rsidRDefault="008352E7" w:rsidP="008352E7">
            <w:pPr>
              <w:spacing w:line="276" w:lineRule="auto"/>
              <w:jc w:val="center"/>
              <w:rPr>
                <w:b/>
                <w:sz w:val="22"/>
                <w:szCs w:val="22"/>
              </w:rPr>
            </w:pPr>
            <w:r>
              <w:rPr>
                <w:b/>
                <w:sz w:val="22"/>
                <w:szCs w:val="22"/>
              </w:rPr>
              <w:t>0.0020</w:t>
            </w:r>
          </w:p>
        </w:tc>
        <w:tc>
          <w:tcPr>
            <w:tcW w:w="1134" w:type="dxa"/>
            <w:shd w:val="clear" w:color="auto" w:fill="D9D9D9"/>
          </w:tcPr>
          <w:p w14:paraId="3A38AD4A" w14:textId="77777777" w:rsidR="001C332B" w:rsidRDefault="008352E7" w:rsidP="008352E7">
            <w:pPr>
              <w:spacing w:line="276" w:lineRule="auto"/>
              <w:jc w:val="center"/>
              <w:rPr>
                <w:b/>
                <w:sz w:val="22"/>
                <w:szCs w:val="22"/>
              </w:rPr>
            </w:pPr>
            <w:r>
              <w:rPr>
                <w:b/>
                <w:sz w:val="22"/>
                <w:szCs w:val="22"/>
              </w:rPr>
              <w:t>Ole e</w:t>
            </w:r>
          </w:p>
        </w:tc>
        <w:tc>
          <w:tcPr>
            <w:tcW w:w="927" w:type="dxa"/>
          </w:tcPr>
          <w:p w14:paraId="2B5CB591" w14:textId="77777777" w:rsidR="001C332B" w:rsidRDefault="008352E7" w:rsidP="008352E7">
            <w:pPr>
              <w:spacing w:line="276" w:lineRule="auto"/>
              <w:jc w:val="center"/>
              <w:rPr>
                <w:sz w:val="22"/>
                <w:szCs w:val="22"/>
              </w:rPr>
            </w:pPr>
            <w:r>
              <w:rPr>
                <w:sz w:val="22"/>
                <w:szCs w:val="22"/>
              </w:rPr>
              <w:t>92.6%</w:t>
            </w:r>
          </w:p>
        </w:tc>
        <w:tc>
          <w:tcPr>
            <w:tcW w:w="928" w:type="dxa"/>
          </w:tcPr>
          <w:p w14:paraId="1EAE52AB" w14:textId="77777777" w:rsidR="001C332B" w:rsidRDefault="008352E7" w:rsidP="008352E7">
            <w:pPr>
              <w:spacing w:line="276" w:lineRule="auto"/>
              <w:jc w:val="center"/>
              <w:rPr>
                <w:sz w:val="22"/>
                <w:szCs w:val="22"/>
              </w:rPr>
            </w:pPr>
            <w:r>
              <w:rPr>
                <w:sz w:val="22"/>
                <w:szCs w:val="22"/>
              </w:rPr>
              <w:t>87.1%</w:t>
            </w:r>
          </w:p>
        </w:tc>
        <w:tc>
          <w:tcPr>
            <w:tcW w:w="1320" w:type="dxa"/>
          </w:tcPr>
          <w:p w14:paraId="20A63F8B" w14:textId="77777777" w:rsidR="001C332B" w:rsidRDefault="008352E7" w:rsidP="008352E7">
            <w:pPr>
              <w:spacing w:line="276" w:lineRule="auto"/>
              <w:jc w:val="center"/>
              <w:rPr>
                <w:b/>
                <w:sz w:val="22"/>
                <w:szCs w:val="22"/>
              </w:rPr>
            </w:pPr>
            <w:r>
              <w:rPr>
                <w:b/>
                <w:sz w:val="22"/>
                <w:szCs w:val="22"/>
              </w:rPr>
              <w:t>0.0002</w:t>
            </w:r>
          </w:p>
        </w:tc>
      </w:tr>
      <w:tr w:rsidR="008352E7" w14:paraId="7FB23F4E" w14:textId="77777777" w:rsidTr="005F5C5A">
        <w:trPr>
          <w:trHeight w:val="19"/>
        </w:trPr>
        <w:tc>
          <w:tcPr>
            <w:tcW w:w="1270" w:type="dxa"/>
          </w:tcPr>
          <w:p w14:paraId="50DC1F79" w14:textId="77777777" w:rsidR="008352E7" w:rsidRDefault="008352E7" w:rsidP="008352E7">
            <w:pPr>
              <w:spacing w:line="276" w:lineRule="auto"/>
              <w:jc w:val="center"/>
              <w:rPr>
                <w:b/>
                <w:sz w:val="22"/>
                <w:szCs w:val="22"/>
              </w:rPr>
            </w:pPr>
            <w:r>
              <w:rPr>
                <w:b/>
                <w:sz w:val="22"/>
                <w:szCs w:val="22"/>
              </w:rPr>
              <w:t>Dust mite</w:t>
            </w:r>
          </w:p>
        </w:tc>
        <w:tc>
          <w:tcPr>
            <w:tcW w:w="1844" w:type="dxa"/>
            <w:shd w:val="clear" w:color="auto" w:fill="E7E6E6"/>
          </w:tcPr>
          <w:p w14:paraId="27B04372" w14:textId="77777777" w:rsidR="008352E7" w:rsidRDefault="008352E7" w:rsidP="008352E7">
            <w:pPr>
              <w:spacing w:line="276" w:lineRule="auto"/>
              <w:jc w:val="center"/>
              <w:rPr>
                <w:b/>
                <w:sz w:val="22"/>
                <w:szCs w:val="22"/>
              </w:rPr>
            </w:pPr>
            <w:r>
              <w:rPr>
                <w:b/>
                <w:sz w:val="22"/>
                <w:szCs w:val="22"/>
              </w:rPr>
              <w:t>Der p 1, 2, 5, 7, 10, 11, 20, 21, 23</w:t>
            </w:r>
          </w:p>
        </w:tc>
        <w:tc>
          <w:tcPr>
            <w:tcW w:w="921" w:type="dxa"/>
          </w:tcPr>
          <w:p w14:paraId="301821C4" w14:textId="77777777" w:rsidR="008352E7" w:rsidRDefault="008352E7" w:rsidP="008352E7">
            <w:pPr>
              <w:spacing w:line="276" w:lineRule="auto"/>
              <w:jc w:val="center"/>
              <w:rPr>
                <w:sz w:val="22"/>
                <w:szCs w:val="22"/>
              </w:rPr>
            </w:pPr>
            <w:r>
              <w:rPr>
                <w:sz w:val="22"/>
                <w:szCs w:val="22"/>
              </w:rPr>
              <w:t>95%</w:t>
            </w:r>
          </w:p>
        </w:tc>
        <w:tc>
          <w:tcPr>
            <w:tcW w:w="922" w:type="dxa"/>
          </w:tcPr>
          <w:p w14:paraId="28D41C45" w14:textId="77777777" w:rsidR="008352E7" w:rsidRDefault="008352E7" w:rsidP="008352E7">
            <w:pPr>
              <w:spacing w:line="276" w:lineRule="auto"/>
              <w:jc w:val="center"/>
              <w:rPr>
                <w:sz w:val="22"/>
                <w:szCs w:val="22"/>
              </w:rPr>
            </w:pPr>
            <w:r>
              <w:rPr>
                <w:sz w:val="22"/>
                <w:szCs w:val="22"/>
              </w:rPr>
              <w:t>100%</w:t>
            </w:r>
          </w:p>
        </w:tc>
        <w:tc>
          <w:tcPr>
            <w:tcW w:w="1559" w:type="dxa"/>
            <w:shd w:val="clear" w:color="auto" w:fill="E7E6E6"/>
          </w:tcPr>
          <w:p w14:paraId="6C4D4227" w14:textId="77777777" w:rsidR="008352E7" w:rsidRDefault="008352E7" w:rsidP="008352E7">
            <w:pPr>
              <w:spacing w:line="276" w:lineRule="auto"/>
              <w:jc w:val="center"/>
              <w:rPr>
                <w:b/>
                <w:sz w:val="22"/>
                <w:szCs w:val="22"/>
              </w:rPr>
            </w:pPr>
            <w:r>
              <w:rPr>
                <w:b/>
                <w:sz w:val="22"/>
                <w:szCs w:val="22"/>
              </w:rPr>
              <w:t>Der p 1, 2, 10</w:t>
            </w:r>
          </w:p>
        </w:tc>
        <w:tc>
          <w:tcPr>
            <w:tcW w:w="921" w:type="dxa"/>
          </w:tcPr>
          <w:p w14:paraId="6AEFD01F" w14:textId="77777777" w:rsidR="008352E7" w:rsidRDefault="008352E7" w:rsidP="008352E7">
            <w:pPr>
              <w:spacing w:line="276" w:lineRule="auto"/>
              <w:jc w:val="center"/>
              <w:rPr>
                <w:sz w:val="22"/>
                <w:szCs w:val="22"/>
              </w:rPr>
            </w:pPr>
            <w:r>
              <w:rPr>
                <w:sz w:val="22"/>
                <w:szCs w:val="22"/>
              </w:rPr>
              <w:t>80%</w:t>
            </w:r>
          </w:p>
        </w:tc>
        <w:tc>
          <w:tcPr>
            <w:tcW w:w="922" w:type="dxa"/>
          </w:tcPr>
          <w:p w14:paraId="0D101C24" w14:textId="77777777" w:rsidR="008352E7" w:rsidRDefault="008352E7" w:rsidP="008352E7">
            <w:pPr>
              <w:spacing w:line="276" w:lineRule="auto"/>
              <w:jc w:val="center"/>
              <w:rPr>
                <w:sz w:val="22"/>
                <w:szCs w:val="22"/>
              </w:rPr>
            </w:pPr>
            <w:r>
              <w:rPr>
                <w:sz w:val="22"/>
                <w:szCs w:val="22"/>
              </w:rPr>
              <w:t>100%</w:t>
            </w:r>
          </w:p>
        </w:tc>
        <w:tc>
          <w:tcPr>
            <w:tcW w:w="1417" w:type="dxa"/>
          </w:tcPr>
          <w:p w14:paraId="3E1453B1" w14:textId="77777777" w:rsidR="008352E7" w:rsidRDefault="008352E7" w:rsidP="008352E7">
            <w:pPr>
              <w:spacing w:line="276" w:lineRule="auto"/>
              <w:jc w:val="center"/>
              <w:rPr>
                <w:sz w:val="22"/>
                <w:szCs w:val="22"/>
              </w:rPr>
            </w:pPr>
            <w:r>
              <w:rPr>
                <w:sz w:val="22"/>
                <w:szCs w:val="22"/>
              </w:rPr>
              <w:t>0.250</w:t>
            </w:r>
          </w:p>
        </w:tc>
        <w:tc>
          <w:tcPr>
            <w:tcW w:w="1134" w:type="dxa"/>
            <w:shd w:val="clear" w:color="auto" w:fill="D9D9D9"/>
          </w:tcPr>
          <w:p w14:paraId="2CDB7323" w14:textId="77777777" w:rsidR="008352E7" w:rsidRDefault="008352E7" w:rsidP="008352E7">
            <w:pPr>
              <w:spacing w:line="276" w:lineRule="auto"/>
              <w:jc w:val="center"/>
              <w:rPr>
                <w:b/>
                <w:sz w:val="22"/>
                <w:szCs w:val="22"/>
              </w:rPr>
            </w:pPr>
            <w:r>
              <w:rPr>
                <w:b/>
                <w:sz w:val="22"/>
                <w:szCs w:val="22"/>
              </w:rPr>
              <w:t>Der p</w:t>
            </w:r>
          </w:p>
        </w:tc>
        <w:tc>
          <w:tcPr>
            <w:tcW w:w="927" w:type="dxa"/>
          </w:tcPr>
          <w:p w14:paraId="79DCC447" w14:textId="77777777" w:rsidR="008352E7" w:rsidRDefault="008352E7" w:rsidP="008352E7">
            <w:pPr>
              <w:spacing w:line="276" w:lineRule="auto"/>
              <w:jc w:val="center"/>
              <w:rPr>
                <w:sz w:val="22"/>
                <w:szCs w:val="22"/>
              </w:rPr>
            </w:pPr>
            <w:r>
              <w:rPr>
                <w:sz w:val="22"/>
                <w:szCs w:val="22"/>
              </w:rPr>
              <w:t>85%</w:t>
            </w:r>
          </w:p>
        </w:tc>
        <w:tc>
          <w:tcPr>
            <w:tcW w:w="928" w:type="dxa"/>
          </w:tcPr>
          <w:p w14:paraId="2562CB56" w14:textId="77777777" w:rsidR="008352E7" w:rsidRDefault="008352E7" w:rsidP="008352E7">
            <w:pPr>
              <w:spacing w:line="276" w:lineRule="auto"/>
              <w:jc w:val="center"/>
              <w:rPr>
                <w:sz w:val="22"/>
                <w:szCs w:val="22"/>
              </w:rPr>
            </w:pPr>
            <w:r>
              <w:rPr>
                <w:sz w:val="22"/>
                <w:szCs w:val="22"/>
              </w:rPr>
              <w:t>100%</w:t>
            </w:r>
          </w:p>
        </w:tc>
        <w:tc>
          <w:tcPr>
            <w:tcW w:w="1320" w:type="dxa"/>
          </w:tcPr>
          <w:p w14:paraId="5A1F5950" w14:textId="77777777" w:rsidR="008352E7" w:rsidRDefault="008352E7" w:rsidP="008352E7">
            <w:pPr>
              <w:spacing w:line="276" w:lineRule="auto"/>
              <w:jc w:val="center"/>
              <w:rPr>
                <w:sz w:val="22"/>
                <w:szCs w:val="22"/>
              </w:rPr>
            </w:pPr>
            <w:r>
              <w:rPr>
                <w:sz w:val="22"/>
                <w:szCs w:val="22"/>
              </w:rPr>
              <w:t>0.625</w:t>
            </w:r>
          </w:p>
        </w:tc>
      </w:tr>
      <w:tr w:rsidR="008352E7" w14:paraId="5D1A42C9" w14:textId="77777777" w:rsidTr="005F5C5A">
        <w:trPr>
          <w:trHeight w:val="19"/>
        </w:trPr>
        <w:tc>
          <w:tcPr>
            <w:tcW w:w="1270" w:type="dxa"/>
          </w:tcPr>
          <w:p w14:paraId="74338D17" w14:textId="77777777" w:rsidR="008352E7" w:rsidRDefault="008352E7" w:rsidP="008352E7">
            <w:pPr>
              <w:spacing w:line="276" w:lineRule="auto"/>
              <w:jc w:val="center"/>
              <w:rPr>
                <w:b/>
                <w:sz w:val="22"/>
                <w:szCs w:val="22"/>
              </w:rPr>
            </w:pPr>
            <w:r>
              <w:rPr>
                <w:b/>
                <w:sz w:val="22"/>
                <w:szCs w:val="22"/>
              </w:rPr>
              <w:t>Alternaria</w:t>
            </w:r>
          </w:p>
        </w:tc>
        <w:tc>
          <w:tcPr>
            <w:tcW w:w="1844" w:type="dxa"/>
            <w:shd w:val="clear" w:color="auto" w:fill="E7E6E6"/>
          </w:tcPr>
          <w:p w14:paraId="78B8B200" w14:textId="77777777" w:rsidR="008352E7" w:rsidRDefault="008352E7" w:rsidP="008352E7">
            <w:pPr>
              <w:spacing w:line="276" w:lineRule="auto"/>
              <w:jc w:val="center"/>
              <w:rPr>
                <w:b/>
                <w:sz w:val="22"/>
                <w:szCs w:val="22"/>
              </w:rPr>
            </w:pPr>
            <w:r>
              <w:rPr>
                <w:b/>
                <w:sz w:val="22"/>
                <w:szCs w:val="22"/>
              </w:rPr>
              <w:t>Alt a 1, 6</w:t>
            </w:r>
          </w:p>
        </w:tc>
        <w:tc>
          <w:tcPr>
            <w:tcW w:w="921" w:type="dxa"/>
          </w:tcPr>
          <w:p w14:paraId="60919393" w14:textId="77777777" w:rsidR="008352E7" w:rsidRDefault="008352E7" w:rsidP="008352E7">
            <w:pPr>
              <w:spacing w:line="276" w:lineRule="auto"/>
              <w:jc w:val="center"/>
              <w:rPr>
                <w:sz w:val="22"/>
                <w:szCs w:val="22"/>
              </w:rPr>
            </w:pPr>
            <w:r>
              <w:rPr>
                <w:sz w:val="22"/>
                <w:szCs w:val="22"/>
              </w:rPr>
              <w:t>88.9%</w:t>
            </w:r>
          </w:p>
        </w:tc>
        <w:tc>
          <w:tcPr>
            <w:tcW w:w="922" w:type="dxa"/>
          </w:tcPr>
          <w:p w14:paraId="4BD745B2" w14:textId="77777777" w:rsidR="008352E7" w:rsidRDefault="008352E7" w:rsidP="008352E7">
            <w:pPr>
              <w:spacing w:line="276" w:lineRule="auto"/>
              <w:jc w:val="center"/>
              <w:rPr>
                <w:sz w:val="22"/>
                <w:szCs w:val="22"/>
              </w:rPr>
            </w:pPr>
            <w:r>
              <w:rPr>
                <w:sz w:val="22"/>
                <w:szCs w:val="22"/>
              </w:rPr>
              <w:t>100%</w:t>
            </w:r>
          </w:p>
        </w:tc>
        <w:tc>
          <w:tcPr>
            <w:tcW w:w="1559" w:type="dxa"/>
            <w:shd w:val="clear" w:color="auto" w:fill="E7E6E6"/>
          </w:tcPr>
          <w:p w14:paraId="1C998898" w14:textId="77777777" w:rsidR="008352E7" w:rsidRDefault="008352E7" w:rsidP="008352E7">
            <w:pPr>
              <w:spacing w:line="276" w:lineRule="auto"/>
              <w:jc w:val="center"/>
              <w:rPr>
                <w:b/>
                <w:sz w:val="22"/>
                <w:szCs w:val="22"/>
              </w:rPr>
            </w:pPr>
            <w:r>
              <w:rPr>
                <w:b/>
                <w:sz w:val="22"/>
                <w:szCs w:val="22"/>
              </w:rPr>
              <w:t>Alt a 1, 6</w:t>
            </w:r>
          </w:p>
        </w:tc>
        <w:tc>
          <w:tcPr>
            <w:tcW w:w="921" w:type="dxa"/>
          </w:tcPr>
          <w:p w14:paraId="4919FB45" w14:textId="77777777" w:rsidR="008352E7" w:rsidRDefault="008352E7" w:rsidP="008352E7">
            <w:pPr>
              <w:spacing w:line="276" w:lineRule="auto"/>
              <w:jc w:val="center"/>
              <w:rPr>
                <w:sz w:val="22"/>
                <w:szCs w:val="22"/>
              </w:rPr>
            </w:pPr>
            <w:r>
              <w:rPr>
                <w:sz w:val="22"/>
                <w:szCs w:val="22"/>
              </w:rPr>
              <w:t>55.6%</w:t>
            </w:r>
          </w:p>
        </w:tc>
        <w:tc>
          <w:tcPr>
            <w:tcW w:w="922" w:type="dxa"/>
          </w:tcPr>
          <w:p w14:paraId="04C96DEC" w14:textId="77777777" w:rsidR="008352E7" w:rsidRDefault="008352E7" w:rsidP="008352E7">
            <w:pPr>
              <w:spacing w:line="276" w:lineRule="auto"/>
              <w:jc w:val="center"/>
              <w:rPr>
                <w:sz w:val="22"/>
                <w:szCs w:val="22"/>
              </w:rPr>
            </w:pPr>
            <w:r>
              <w:rPr>
                <w:sz w:val="22"/>
                <w:szCs w:val="22"/>
              </w:rPr>
              <w:t>100%</w:t>
            </w:r>
          </w:p>
        </w:tc>
        <w:tc>
          <w:tcPr>
            <w:tcW w:w="1417" w:type="dxa"/>
          </w:tcPr>
          <w:p w14:paraId="3E8AA0C5" w14:textId="77777777" w:rsidR="008352E7" w:rsidRDefault="008352E7" w:rsidP="008352E7">
            <w:pPr>
              <w:spacing w:line="276" w:lineRule="auto"/>
              <w:jc w:val="center"/>
              <w:rPr>
                <w:b/>
                <w:sz w:val="22"/>
                <w:szCs w:val="22"/>
              </w:rPr>
            </w:pPr>
            <w:r>
              <w:rPr>
                <w:b/>
                <w:sz w:val="22"/>
                <w:szCs w:val="22"/>
              </w:rPr>
              <w:t>0.0313</w:t>
            </w:r>
          </w:p>
        </w:tc>
        <w:tc>
          <w:tcPr>
            <w:tcW w:w="1134" w:type="dxa"/>
            <w:shd w:val="clear" w:color="auto" w:fill="D9D9D9"/>
          </w:tcPr>
          <w:p w14:paraId="67467B95" w14:textId="77777777" w:rsidR="008352E7" w:rsidRDefault="008352E7" w:rsidP="008352E7">
            <w:pPr>
              <w:spacing w:line="276" w:lineRule="auto"/>
              <w:jc w:val="center"/>
              <w:rPr>
                <w:b/>
                <w:sz w:val="22"/>
                <w:szCs w:val="22"/>
              </w:rPr>
            </w:pPr>
            <w:r>
              <w:rPr>
                <w:b/>
                <w:sz w:val="22"/>
                <w:szCs w:val="22"/>
              </w:rPr>
              <w:t>Alt a</w:t>
            </w:r>
          </w:p>
        </w:tc>
        <w:tc>
          <w:tcPr>
            <w:tcW w:w="927" w:type="dxa"/>
          </w:tcPr>
          <w:p w14:paraId="15FFF10D" w14:textId="77777777" w:rsidR="008352E7" w:rsidRDefault="008352E7" w:rsidP="008352E7">
            <w:pPr>
              <w:spacing w:line="276" w:lineRule="auto"/>
              <w:jc w:val="center"/>
              <w:rPr>
                <w:sz w:val="22"/>
                <w:szCs w:val="22"/>
              </w:rPr>
            </w:pPr>
            <w:r>
              <w:rPr>
                <w:rFonts w:ascii="Arial" w:eastAsia="Arial" w:hAnsi="Arial" w:cs="Arial"/>
                <w:color w:val="1C1D1E"/>
                <w:sz w:val="21"/>
                <w:szCs w:val="21"/>
                <w:highlight w:val="white"/>
              </w:rPr>
              <w:t>†</w:t>
            </w:r>
          </w:p>
        </w:tc>
        <w:tc>
          <w:tcPr>
            <w:tcW w:w="928" w:type="dxa"/>
          </w:tcPr>
          <w:p w14:paraId="16CF451C" w14:textId="77777777" w:rsidR="008352E7" w:rsidRDefault="008352E7" w:rsidP="008352E7">
            <w:pPr>
              <w:spacing w:line="276" w:lineRule="auto"/>
              <w:jc w:val="center"/>
              <w:rPr>
                <w:sz w:val="22"/>
                <w:szCs w:val="22"/>
              </w:rPr>
            </w:pPr>
            <w:r>
              <w:rPr>
                <w:sz w:val="22"/>
                <w:szCs w:val="22"/>
              </w:rPr>
              <w:t>100%</w:t>
            </w:r>
          </w:p>
        </w:tc>
        <w:tc>
          <w:tcPr>
            <w:tcW w:w="1320" w:type="dxa"/>
          </w:tcPr>
          <w:p w14:paraId="289AFE4B" w14:textId="77777777" w:rsidR="008352E7" w:rsidRDefault="008352E7" w:rsidP="008352E7">
            <w:pPr>
              <w:spacing w:line="276" w:lineRule="auto"/>
              <w:jc w:val="center"/>
              <w:rPr>
                <w:sz w:val="22"/>
                <w:szCs w:val="22"/>
              </w:rPr>
            </w:pPr>
            <w:r>
              <w:rPr>
                <w:sz w:val="22"/>
                <w:szCs w:val="22"/>
              </w:rPr>
              <w:t>0.500</w:t>
            </w:r>
          </w:p>
        </w:tc>
      </w:tr>
      <w:tr w:rsidR="008352E7" w14:paraId="647D2A83" w14:textId="77777777" w:rsidTr="005F5C5A">
        <w:trPr>
          <w:trHeight w:val="19"/>
        </w:trPr>
        <w:tc>
          <w:tcPr>
            <w:tcW w:w="1270" w:type="dxa"/>
          </w:tcPr>
          <w:p w14:paraId="5380F40E" w14:textId="77777777" w:rsidR="008352E7" w:rsidRDefault="008352E7" w:rsidP="008352E7">
            <w:pPr>
              <w:spacing w:line="276" w:lineRule="auto"/>
              <w:jc w:val="center"/>
              <w:rPr>
                <w:b/>
                <w:sz w:val="22"/>
                <w:szCs w:val="22"/>
              </w:rPr>
            </w:pPr>
            <w:r>
              <w:rPr>
                <w:b/>
                <w:sz w:val="22"/>
                <w:szCs w:val="22"/>
              </w:rPr>
              <w:t>Apple</w:t>
            </w:r>
          </w:p>
        </w:tc>
        <w:tc>
          <w:tcPr>
            <w:tcW w:w="1844" w:type="dxa"/>
            <w:shd w:val="clear" w:color="auto" w:fill="E7E6E6"/>
          </w:tcPr>
          <w:p w14:paraId="151FB187" w14:textId="77777777" w:rsidR="008352E7" w:rsidRDefault="008352E7" w:rsidP="008352E7">
            <w:pPr>
              <w:spacing w:line="276" w:lineRule="auto"/>
              <w:jc w:val="center"/>
              <w:rPr>
                <w:b/>
                <w:sz w:val="22"/>
                <w:szCs w:val="22"/>
              </w:rPr>
            </w:pPr>
            <w:r>
              <w:rPr>
                <w:b/>
                <w:sz w:val="22"/>
                <w:szCs w:val="22"/>
              </w:rPr>
              <w:t>Mal d 1, 2, 3</w:t>
            </w:r>
          </w:p>
        </w:tc>
        <w:tc>
          <w:tcPr>
            <w:tcW w:w="921" w:type="dxa"/>
          </w:tcPr>
          <w:p w14:paraId="7BEA45DB" w14:textId="77777777" w:rsidR="008352E7" w:rsidRDefault="008352E7" w:rsidP="008352E7">
            <w:pPr>
              <w:spacing w:line="276" w:lineRule="auto"/>
              <w:jc w:val="center"/>
              <w:rPr>
                <w:sz w:val="22"/>
                <w:szCs w:val="22"/>
              </w:rPr>
            </w:pPr>
            <w:r>
              <w:rPr>
                <w:sz w:val="22"/>
                <w:szCs w:val="22"/>
              </w:rPr>
              <w:t>73.3%</w:t>
            </w:r>
          </w:p>
        </w:tc>
        <w:tc>
          <w:tcPr>
            <w:tcW w:w="922" w:type="dxa"/>
          </w:tcPr>
          <w:p w14:paraId="6586DD24" w14:textId="77777777" w:rsidR="008352E7" w:rsidRDefault="008352E7" w:rsidP="008352E7">
            <w:pPr>
              <w:spacing w:line="276" w:lineRule="auto"/>
              <w:jc w:val="center"/>
              <w:rPr>
                <w:sz w:val="22"/>
                <w:szCs w:val="22"/>
              </w:rPr>
            </w:pPr>
            <w:r>
              <w:rPr>
                <w:sz w:val="22"/>
                <w:szCs w:val="22"/>
              </w:rPr>
              <w:t>100%</w:t>
            </w:r>
          </w:p>
        </w:tc>
        <w:tc>
          <w:tcPr>
            <w:tcW w:w="1559" w:type="dxa"/>
            <w:shd w:val="clear" w:color="auto" w:fill="E7E6E6"/>
          </w:tcPr>
          <w:p w14:paraId="01DE8E37" w14:textId="77777777" w:rsidR="008352E7" w:rsidRDefault="008352E7" w:rsidP="008352E7">
            <w:pPr>
              <w:spacing w:line="276" w:lineRule="auto"/>
              <w:jc w:val="center"/>
              <w:rPr>
                <w:b/>
                <w:sz w:val="22"/>
                <w:szCs w:val="22"/>
              </w:rPr>
            </w:pPr>
            <w:r>
              <w:rPr>
                <w:b/>
                <w:sz w:val="22"/>
                <w:szCs w:val="22"/>
              </w:rPr>
              <w:t>Mal d 1</w:t>
            </w:r>
          </w:p>
        </w:tc>
        <w:tc>
          <w:tcPr>
            <w:tcW w:w="921" w:type="dxa"/>
          </w:tcPr>
          <w:p w14:paraId="5202892E" w14:textId="77777777" w:rsidR="008352E7" w:rsidRDefault="008352E7" w:rsidP="008352E7">
            <w:pPr>
              <w:spacing w:line="276" w:lineRule="auto"/>
              <w:jc w:val="center"/>
              <w:rPr>
                <w:sz w:val="22"/>
                <w:szCs w:val="22"/>
              </w:rPr>
            </w:pPr>
            <w:r>
              <w:rPr>
                <w:sz w:val="22"/>
                <w:szCs w:val="22"/>
              </w:rPr>
              <w:t>6.7%</w:t>
            </w:r>
          </w:p>
        </w:tc>
        <w:tc>
          <w:tcPr>
            <w:tcW w:w="922" w:type="dxa"/>
          </w:tcPr>
          <w:p w14:paraId="46558234" w14:textId="77777777" w:rsidR="008352E7" w:rsidRDefault="008352E7" w:rsidP="008352E7">
            <w:pPr>
              <w:spacing w:line="276" w:lineRule="auto"/>
              <w:jc w:val="center"/>
              <w:rPr>
                <w:sz w:val="22"/>
                <w:szCs w:val="22"/>
              </w:rPr>
            </w:pPr>
            <w:r>
              <w:rPr>
                <w:sz w:val="22"/>
                <w:szCs w:val="22"/>
              </w:rPr>
              <w:t>100%</w:t>
            </w:r>
          </w:p>
        </w:tc>
        <w:tc>
          <w:tcPr>
            <w:tcW w:w="1417" w:type="dxa"/>
          </w:tcPr>
          <w:p w14:paraId="5970E339" w14:textId="77777777" w:rsidR="008352E7" w:rsidRDefault="008352E7" w:rsidP="008352E7">
            <w:pPr>
              <w:spacing w:line="276" w:lineRule="auto"/>
              <w:jc w:val="center"/>
              <w:rPr>
                <w:b/>
                <w:sz w:val="22"/>
                <w:szCs w:val="22"/>
              </w:rPr>
            </w:pPr>
            <w:r>
              <w:rPr>
                <w:b/>
                <w:sz w:val="22"/>
                <w:szCs w:val="22"/>
              </w:rPr>
              <w:t>0.0020</w:t>
            </w:r>
          </w:p>
        </w:tc>
        <w:tc>
          <w:tcPr>
            <w:tcW w:w="1134" w:type="dxa"/>
            <w:shd w:val="clear" w:color="auto" w:fill="D9D9D9"/>
          </w:tcPr>
          <w:p w14:paraId="5AC9F5D8" w14:textId="77777777" w:rsidR="008352E7" w:rsidRDefault="008352E7" w:rsidP="008352E7">
            <w:pPr>
              <w:spacing w:line="276" w:lineRule="auto"/>
              <w:jc w:val="center"/>
              <w:rPr>
                <w:b/>
                <w:sz w:val="22"/>
                <w:szCs w:val="22"/>
              </w:rPr>
            </w:pPr>
            <w:r>
              <w:rPr>
                <w:b/>
                <w:sz w:val="22"/>
                <w:szCs w:val="22"/>
              </w:rPr>
              <w:t>Mal d</w:t>
            </w:r>
          </w:p>
        </w:tc>
        <w:tc>
          <w:tcPr>
            <w:tcW w:w="927" w:type="dxa"/>
          </w:tcPr>
          <w:p w14:paraId="10E94E24" w14:textId="77777777" w:rsidR="008352E7" w:rsidRDefault="008352E7" w:rsidP="008352E7">
            <w:pPr>
              <w:spacing w:line="276" w:lineRule="auto"/>
              <w:jc w:val="center"/>
              <w:rPr>
                <w:sz w:val="22"/>
                <w:szCs w:val="22"/>
              </w:rPr>
            </w:pPr>
            <w:r>
              <w:rPr>
                <w:sz w:val="22"/>
                <w:szCs w:val="22"/>
              </w:rPr>
              <w:t>100%</w:t>
            </w:r>
          </w:p>
        </w:tc>
        <w:tc>
          <w:tcPr>
            <w:tcW w:w="928" w:type="dxa"/>
          </w:tcPr>
          <w:p w14:paraId="6167796B" w14:textId="77777777" w:rsidR="008352E7" w:rsidRDefault="008352E7" w:rsidP="008352E7">
            <w:pPr>
              <w:spacing w:line="276" w:lineRule="auto"/>
              <w:jc w:val="center"/>
              <w:rPr>
                <w:sz w:val="22"/>
                <w:szCs w:val="22"/>
              </w:rPr>
            </w:pPr>
            <w:r>
              <w:rPr>
                <w:sz w:val="22"/>
                <w:szCs w:val="22"/>
              </w:rPr>
              <w:t>100%</w:t>
            </w:r>
          </w:p>
        </w:tc>
        <w:tc>
          <w:tcPr>
            <w:tcW w:w="1320" w:type="dxa"/>
          </w:tcPr>
          <w:p w14:paraId="59A9DC81" w14:textId="77777777" w:rsidR="008352E7" w:rsidRDefault="008352E7" w:rsidP="008352E7">
            <w:pPr>
              <w:spacing w:line="276" w:lineRule="auto"/>
              <w:jc w:val="center"/>
              <w:rPr>
                <w:sz w:val="22"/>
                <w:szCs w:val="22"/>
              </w:rPr>
            </w:pPr>
            <w:r>
              <w:rPr>
                <w:sz w:val="22"/>
                <w:szCs w:val="22"/>
              </w:rPr>
              <w:t>0.125</w:t>
            </w:r>
          </w:p>
        </w:tc>
      </w:tr>
      <w:tr w:rsidR="008352E7" w14:paraId="3DE11EA6" w14:textId="77777777" w:rsidTr="005F5C5A">
        <w:trPr>
          <w:trHeight w:val="19"/>
        </w:trPr>
        <w:tc>
          <w:tcPr>
            <w:tcW w:w="1270" w:type="dxa"/>
          </w:tcPr>
          <w:p w14:paraId="30D4C1C7" w14:textId="77777777" w:rsidR="008352E7" w:rsidRDefault="008352E7" w:rsidP="008352E7">
            <w:pPr>
              <w:spacing w:line="276" w:lineRule="auto"/>
              <w:jc w:val="center"/>
              <w:rPr>
                <w:b/>
                <w:sz w:val="22"/>
                <w:szCs w:val="22"/>
              </w:rPr>
            </w:pPr>
            <w:r>
              <w:rPr>
                <w:b/>
                <w:sz w:val="22"/>
                <w:szCs w:val="22"/>
              </w:rPr>
              <w:t>Peach</w:t>
            </w:r>
          </w:p>
        </w:tc>
        <w:tc>
          <w:tcPr>
            <w:tcW w:w="1844" w:type="dxa"/>
            <w:shd w:val="clear" w:color="auto" w:fill="E7E6E6"/>
          </w:tcPr>
          <w:p w14:paraId="6D1AAF21" w14:textId="77777777" w:rsidR="008352E7" w:rsidRDefault="008352E7" w:rsidP="008352E7">
            <w:pPr>
              <w:spacing w:line="276" w:lineRule="auto"/>
              <w:jc w:val="center"/>
              <w:rPr>
                <w:b/>
                <w:sz w:val="22"/>
                <w:szCs w:val="22"/>
              </w:rPr>
            </w:pPr>
            <w:proofErr w:type="spellStart"/>
            <w:r>
              <w:rPr>
                <w:b/>
                <w:sz w:val="22"/>
                <w:szCs w:val="22"/>
              </w:rPr>
              <w:t>Pru</w:t>
            </w:r>
            <w:proofErr w:type="spellEnd"/>
            <w:r>
              <w:rPr>
                <w:b/>
                <w:sz w:val="22"/>
                <w:szCs w:val="22"/>
              </w:rPr>
              <w:t xml:space="preserve"> p 3, 7</w:t>
            </w:r>
          </w:p>
        </w:tc>
        <w:tc>
          <w:tcPr>
            <w:tcW w:w="921" w:type="dxa"/>
          </w:tcPr>
          <w:p w14:paraId="33BD7BE7" w14:textId="77777777" w:rsidR="008352E7" w:rsidRDefault="008352E7" w:rsidP="008352E7">
            <w:pPr>
              <w:spacing w:line="276" w:lineRule="auto"/>
              <w:jc w:val="center"/>
              <w:rPr>
                <w:sz w:val="22"/>
                <w:szCs w:val="22"/>
              </w:rPr>
            </w:pPr>
            <w:r>
              <w:rPr>
                <w:sz w:val="22"/>
                <w:szCs w:val="22"/>
              </w:rPr>
              <w:t>94.1%</w:t>
            </w:r>
          </w:p>
        </w:tc>
        <w:tc>
          <w:tcPr>
            <w:tcW w:w="922" w:type="dxa"/>
          </w:tcPr>
          <w:p w14:paraId="07470A96" w14:textId="77777777" w:rsidR="008352E7" w:rsidRDefault="008352E7" w:rsidP="008352E7">
            <w:pPr>
              <w:spacing w:line="276" w:lineRule="auto"/>
              <w:jc w:val="center"/>
              <w:rPr>
                <w:sz w:val="22"/>
                <w:szCs w:val="22"/>
              </w:rPr>
            </w:pPr>
            <w:r>
              <w:rPr>
                <w:sz w:val="22"/>
                <w:szCs w:val="22"/>
              </w:rPr>
              <w:t>100%</w:t>
            </w:r>
          </w:p>
        </w:tc>
        <w:tc>
          <w:tcPr>
            <w:tcW w:w="1559" w:type="dxa"/>
            <w:shd w:val="clear" w:color="auto" w:fill="E7E6E6"/>
          </w:tcPr>
          <w:p w14:paraId="4B6DE2C6" w14:textId="77777777" w:rsidR="008352E7" w:rsidRDefault="008352E7" w:rsidP="008352E7">
            <w:pPr>
              <w:spacing w:line="276" w:lineRule="auto"/>
              <w:jc w:val="center"/>
              <w:rPr>
                <w:b/>
                <w:sz w:val="22"/>
                <w:szCs w:val="22"/>
              </w:rPr>
            </w:pPr>
            <w:proofErr w:type="spellStart"/>
            <w:r>
              <w:rPr>
                <w:b/>
                <w:sz w:val="22"/>
                <w:szCs w:val="22"/>
              </w:rPr>
              <w:t>Pru</w:t>
            </w:r>
            <w:proofErr w:type="spellEnd"/>
            <w:r>
              <w:rPr>
                <w:b/>
                <w:sz w:val="22"/>
                <w:szCs w:val="22"/>
              </w:rPr>
              <w:t xml:space="preserve"> p 1, 3, 4</w:t>
            </w:r>
          </w:p>
        </w:tc>
        <w:tc>
          <w:tcPr>
            <w:tcW w:w="921" w:type="dxa"/>
          </w:tcPr>
          <w:p w14:paraId="51A1AE4E" w14:textId="77777777" w:rsidR="008352E7" w:rsidRDefault="008352E7" w:rsidP="008352E7">
            <w:pPr>
              <w:spacing w:line="276" w:lineRule="auto"/>
              <w:jc w:val="center"/>
              <w:rPr>
                <w:sz w:val="22"/>
                <w:szCs w:val="22"/>
              </w:rPr>
            </w:pPr>
            <w:r>
              <w:rPr>
                <w:sz w:val="22"/>
                <w:szCs w:val="22"/>
              </w:rPr>
              <w:t>97.1%</w:t>
            </w:r>
          </w:p>
        </w:tc>
        <w:tc>
          <w:tcPr>
            <w:tcW w:w="922" w:type="dxa"/>
          </w:tcPr>
          <w:p w14:paraId="42A8C126" w14:textId="77777777" w:rsidR="008352E7" w:rsidRDefault="008352E7" w:rsidP="008352E7">
            <w:pPr>
              <w:spacing w:line="276" w:lineRule="auto"/>
              <w:jc w:val="center"/>
              <w:rPr>
                <w:sz w:val="22"/>
                <w:szCs w:val="22"/>
              </w:rPr>
            </w:pPr>
            <w:r>
              <w:rPr>
                <w:sz w:val="22"/>
                <w:szCs w:val="22"/>
              </w:rPr>
              <w:t>100%</w:t>
            </w:r>
          </w:p>
        </w:tc>
        <w:tc>
          <w:tcPr>
            <w:tcW w:w="1417" w:type="dxa"/>
          </w:tcPr>
          <w:p w14:paraId="5F06AE56" w14:textId="77777777" w:rsidR="008352E7" w:rsidRDefault="008352E7" w:rsidP="008352E7">
            <w:pPr>
              <w:spacing w:line="276" w:lineRule="auto"/>
              <w:jc w:val="center"/>
              <w:rPr>
                <w:sz w:val="22"/>
                <w:szCs w:val="22"/>
              </w:rPr>
            </w:pPr>
            <w:r>
              <w:rPr>
                <w:sz w:val="22"/>
                <w:szCs w:val="22"/>
              </w:rPr>
              <w:t>1.000</w:t>
            </w:r>
          </w:p>
        </w:tc>
        <w:tc>
          <w:tcPr>
            <w:tcW w:w="1134" w:type="dxa"/>
            <w:shd w:val="clear" w:color="auto" w:fill="D9D9D9"/>
          </w:tcPr>
          <w:p w14:paraId="1E5B09C9" w14:textId="77777777" w:rsidR="008352E7" w:rsidRDefault="008352E7" w:rsidP="008352E7">
            <w:pPr>
              <w:spacing w:line="276" w:lineRule="auto"/>
              <w:jc w:val="center"/>
              <w:rPr>
                <w:b/>
                <w:sz w:val="22"/>
                <w:szCs w:val="22"/>
              </w:rPr>
            </w:pPr>
            <w:proofErr w:type="spellStart"/>
            <w:r>
              <w:rPr>
                <w:b/>
                <w:sz w:val="22"/>
                <w:szCs w:val="22"/>
              </w:rPr>
              <w:t>Pru</w:t>
            </w:r>
            <w:proofErr w:type="spellEnd"/>
            <w:r>
              <w:rPr>
                <w:b/>
                <w:sz w:val="22"/>
                <w:szCs w:val="22"/>
              </w:rPr>
              <w:t xml:space="preserve"> p</w:t>
            </w:r>
          </w:p>
        </w:tc>
        <w:tc>
          <w:tcPr>
            <w:tcW w:w="927" w:type="dxa"/>
          </w:tcPr>
          <w:p w14:paraId="2593371E" w14:textId="77777777" w:rsidR="008352E7" w:rsidRDefault="008352E7" w:rsidP="008352E7">
            <w:pPr>
              <w:spacing w:line="276" w:lineRule="auto"/>
              <w:jc w:val="center"/>
              <w:rPr>
                <w:sz w:val="22"/>
                <w:szCs w:val="22"/>
              </w:rPr>
            </w:pPr>
            <w:r>
              <w:rPr>
                <w:sz w:val="22"/>
                <w:szCs w:val="22"/>
              </w:rPr>
              <w:t>100%</w:t>
            </w:r>
          </w:p>
        </w:tc>
        <w:tc>
          <w:tcPr>
            <w:tcW w:w="928" w:type="dxa"/>
          </w:tcPr>
          <w:p w14:paraId="1BB63E3C" w14:textId="77777777" w:rsidR="008352E7" w:rsidRDefault="008352E7" w:rsidP="008352E7">
            <w:pPr>
              <w:spacing w:line="276" w:lineRule="auto"/>
              <w:jc w:val="center"/>
              <w:rPr>
                <w:sz w:val="22"/>
                <w:szCs w:val="22"/>
              </w:rPr>
            </w:pPr>
            <w:r>
              <w:rPr>
                <w:sz w:val="22"/>
                <w:szCs w:val="22"/>
              </w:rPr>
              <w:t>100%</w:t>
            </w:r>
          </w:p>
        </w:tc>
        <w:tc>
          <w:tcPr>
            <w:tcW w:w="1320" w:type="dxa"/>
          </w:tcPr>
          <w:p w14:paraId="397E5073" w14:textId="77777777" w:rsidR="008352E7" w:rsidRDefault="008352E7" w:rsidP="008352E7">
            <w:pPr>
              <w:spacing w:line="276" w:lineRule="auto"/>
              <w:jc w:val="center"/>
              <w:rPr>
                <w:sz w:val="22"/>
                <w:szCs w:val="22"/>
              </w:rPr>
            </w:pPr>
            <w:r>
              <w:rPr>
                <w:sz w:val="22"/>
                <w:szCs w:val="22"/>
              </w:rPr>
              <w:t>0.500</w:t>
            </w:r>
          </w:p>
        </w:tc>
      </w:tr>
      <w:tr w:rsidR="008352E7" w14:paraId="05E5AA41" w14:textId="77777777" w:rsidTr="005F5C5A">
        <w:trPr>
          <w:trHeight w:val="19"/>
        </w:trPr>
        <w:tc>
          <w:tcPr>
            <w:tcW w:w="1270" w:type="dxa"/>
          </w:tcPr>
          <w:p w14:paraId="00619C1A" w14:textId="77777777" w:rsidR="008352E7" w:rsidRDefault="008352E7" w:rsidP="008352E7">
            <w:pPr>
              <w:spacing w:line="276" w:lineRule="auto"/>
              <w:jc w:val="center"/>
              <w:rPr>
                <w:b/>
                <w:sz w:val="22"/>
                <w:szCs w:val="22"/>
              </w:rPr>
            </w:pPr>
            <w:r>
              <w:rPr>
                <w:b/>
                <w:sz w:val="22"/>
                <w:szCs w:val="22"/>
              </w:rPr>
              <w:t>Walnut</w:t>
            </w:r>
          </w:p>
        </w:tc>
        <w:tc>
          <w:tcPr>
            <w:tcW w:w="1844" w:type="dxa"/>
            <w:shd w:val="clear" w:color="auto" w:fill="E7E6E6"/>
          </w:tcPr>
          <w:p w14:paraId="3BAE4419" w14:textId="77777777" w:rsidR="008352E7" w:rsidRDefault="008352E7" w:rsidP="008352E7">
            <w:pPr>
              <w:spacing w:line="276" w:lineRule="auto"/>
              <w:jc w:val="center"/>
              <w:rPr>
                <w:b/>
                <w:sz w:val="22"/>
                <w:szCs w:val="22"/>
              </w:rPr>
            </w:pPr>
            <w:r>
              <w:rPr>
                <w:b/>
                <w:sz w:val="22"/>
                <w:szCs w:val="22"/>
              </w:rPr>
              <w:t>Jug r 1, 2, 3, 4, 6</w:t>
            </w:r>
          </w:p>
        </w:tc>
        <w:tc>
          <w:tcPr>
            <w:tcW w:w="921" w:type="dxa"/>
          </w:tcPr>
          <w:p w14:paraId="277744D5" w14:textId="77777777" w:rsidR="008352E7" w:rsidRDefault="008352E7" w:rsidP="008352E7">
            <w:pPr>
              <w:spacing w:line="276" w:lineRule="auto"/>
              <w:jc w:val="center"/>
              <w:rPr>
                <w:sz w:val="22"/>
                <w:szCs w:val="22"/>
              </w:rPr>
            </w:pPr>
            <w:r>
              <w:rPr>
                <w:sz w:val="22"/>
                <w:szCs w:val="22"/>
              </w:rPr>
              <w:t>60.7%</w:t>
            </w:r>
          </w:p>
        </w:tc>
        <w:tc>
          <w:tcPr>
            <w:tcW w:w="922" w:type="dxa"/>
          </w:tcPr>
          <w:p w14:paraId="259867C3" w14:textId="77777777" w:rsidR="008352E7" w:rsidRDefault="008352E7" w:rsidP="008352E7">
            <w:pPr>
              <w:spacing w:line="276" w:lineRule="auto"/>
              <w:jc w:val="center"/>
              <w:rPr>
                <w:sz w:val="22"/>
                <w:szCs w:val="22"/>
              </w:rPr>
            </w:pPr>
            <w:r>
              <w:rPr>
                <w:sz w:val="22"/>
                <w:szCs w:val="22"/>
              </w:rPr>
              <w:t>100%</w:t>
            </w:r>
          </w:p>
        </w:tc>
        <w:tc>
          <w:tcPr>
            <w:tcW w:w="1559" w:type="dxa"/>
            <w:shd w:val="clear" w:color="auto" w:fill="E7E6E6"/>
          </w:tcPr>
          <w:p w14:paraId="62D16926" w14:textId="77777777" w:rsidR="008352E7" w:rsidRDefault="008352E7" w:rsidP="008352E7">
            <w:pPr>
              <w:spacing w:line="276" w:lineRule="auto"/>
              <w:jc w:val="center"/>
              <w:rPr>
                <w:b/>
                <w:sz w:val="22"/>
                <w:szCs w:val="22"/>
              </w:rPr>
            </w:pPr>
            <w:r>
              <w:rPr>
                <w:b/>
                <w:sz w:val="22"/>
                <w:szCs w:val="22"/>
              </w:rPr>
              <w:t>Jug r 1, 2, 3</w:t>
            </w:r>
          </w:p>
        </w:tc>
        <w:tc>
          <w:tcPr>
            <w:tcW w:w="921" w:type="dxa"/>
          </w:tcPr>
          <w:p w14:paraId="16BBB152" w14:textId="77777777" w:rsidR="008352E7" w:rsidRDefault="008352E7" w:rsidP="008352E7">
            <w:pPr>
              <w:spacing w:line="276" w:lineRule="auto"/>
              <w:jc w:val="center"/>
              <w:rPr>
                <w:sz w:val="22"/>
                <w:szCs w:val="22"/>
              </w:rPr>
            </w:pPr>
            <w:r>
              <w:rPr>
                <w:sz w:val="22"/>
                <w:szCs w:val="22"/>
              </w:rPr>
              <w:t>85.7%</w:t>
            </w:r>
          </w:p>
        </w:tc>
        <w:tc>
          <w:tcPr>
            <w:tcW w:w="922" w:type="dxa"/>
          </w:tcPr>
          <w:p w14:paraId="398E5A73" w14:textId="77777777" w:rsidR="008352E7" w:rsidRDefault="008352E7" w:rsidP="008352E7">
            <w:pPr>
              <w:spacing w:line="276" w:lineRule="auto"/>
              <w:jc w:val="center"/>
              <w:rPr>
                <w:sz w:val="22"/>
                <w:szCs w:val="22"/>
              </w:rPr>
            </w:pPr>
            <w:r>
              <w:rPr>
                <w:sz w:val="22"/>
                <w:szCs w:val="22"/>
              </w:rPr>
              <w:t>95.7%</w:t>
            </w:r>
          </w:p>
        </w:tc>
        <w:tc>
          <w:tcPr>
            <w:tcW w:w="1417" w:type="dxa"/>
          </w:tcPr>
          <w:p w14:paraId="2530C871" w14:textId="77777777" w:rsidR="008352E7" w:rsidRDefault="008352E7" w:rsidP="008352E7">
            <w:pPr>
              <w:spacing w:line="276" w:lineRule="auto"/>
              <w:jc w:val="center"/>
              <w:rPr>
                <w:b/>
                <w:sz w:val="22"/>
                <w:szCs w:val="22"/>
              </w:rPr>
            </w:pPr>
            <w:r>
              <w:rPr>
                <w:b/>
                <w:sz w:val="22"/>
                <w:szCs w:val="22"/>
              </w:rPr>
              <w:t>0.0215</w:t>
            </w:r>
          </w:p>
        </w:tc>
        <w:tc>
          <w:tcPr>
            <w:tcW w:w="1134" w:type="dxa"/>
            <w:shd w:val="clear" w:color="auto" w:fill="D9D9D9"/>
          </w:tcPr>
          <w:p w14:paraId="5B8668A5" w14:textId="77777777" w:rsidR="008352E7" w:rsidRDefault="008352E7" w:rsidP="008352E7">
            <w:pPr>
              <w:spacing w:line="276" w:lineRule="auto"/>
              <w:jc w:val="center"/>
              <w:rPr>
                <w:b/>
                <w:sz w:val="22"/>
                <w:szCs w:val="22"/>
              </w:rPr>
            </w:pPr>
            <w:r>
              <w:rPr>
                <w:b/>
                <w:sz w:val="22"/>
                <w:szCs w:val="22"/>
              </w:rPr>
              <w:t>Jug r</w:t>
            </w:r>
          </w:p>
        </w:tc>
        <w:tc>
          <w:tcPr>
            <w:tcW w:w="927" w:type="dxa"/>
          </w:tcPr>
          <w:p w14:paraId="4E697ABA" w14:textId="77777777" w:rsidR="008352E7" w:rsidRDefault="008352E7" w:rsidP="008352E7">
            <w:pPr>
              <w:spacing w:line="276" w:lineRule="auto"/>
              <w:jc w:val="center"/>
              <w:rPr>
                <w:sz w:val="22"/>
                <w:szCs w:val="22"/>
              </w:rPr>
            </w:pPr>
            <w:r>
              <w:rPr>
                <w:sz w:val="22"/>
                <w:szCs w:val="22"/>
              </w:rPr>
              <w:t>92.9%</w:t>
            </w:r>
          </w:p>
        </w:tc>
        <w:tc>
          <w:tcPr>
            <w:tcW w:w="928" w:type="dxa"/>
          </w:tcPr>
          <w:p w14:paraId="3F9603EB" w14:textId="77777777" w:rsidR="008352E7" w:rsidRDefault="008352E7" w:rsidP="008352E7">
            <w:pPr>
              <w:spacing w:line="276" w:lineRule="auto"/>
              <w:jc w:val="center"/>
              <w:rPr>
                <w:sz w:val="22"/>
                <w:szCs w:val="22"/>
              </w:rPr>
            </w:pPr>
            <w:r>
              <w:rPr>
                <w:sz w:val="22"/>
                <w:szCs w:val="22"/>
              </w:rPr>
              <w:t>100%</w:t>
            </w:r>
          </w:p>
        </w:tc>
        <w:tc>
          <w:tcPr>
            <w:tcW w:w="1320" w:type="dxa"/>
          </w:tcPr>
          <w:p w14:paraId="792119BF" w14:textId="77777777" w:rsidR="008352E7" w:rsidRDefault="008352E7" w:rsidP="008352E7">
            <w:pPr>
              <w:spacing w:line="276" w:lineRule="auto"/>
              <w:jc w:val="center"/>
              <w:rPr>
                <w:b/>
                <w:sz w:val="22"/>
                <w:szCs w:val="22"/>
              </w:rPr>
            </w:pPr>
            <w:r>
              <w:rPr>
                <w:b/>
                <w:sz w:val="22"/>
                <w:szCs w:val="22"/>
              </w:rPr>
              <w:t>0.0117</w:t>
            </w:r>
          </w:p>
        </w:tc>
      </w:tr>
      <w:tr w:rsidR="008352E7" w14:paraId="7A108F7A" w14:textId="77777777" w:rsidTr="005F5C5A">
        <w:trPr>
          <w:trHeight w:val="19"/>
        </w:trPr>
        <w:tc>
          <w:tcPr>
            <w:tcW w:w="1270" w:type="dxa"/>
          </w:tcPr>
          <w:p w14:paraId="56C12873" w14:textId="77777777" w:rsidR="008352E7" w:rsidRDefault="008352E7" w:rsidP="008352E7">
            <w:pPr>
              <w:spacing w:line="276" w:lineRule="auto"/>
              <w:jc w:val="center"/>
              <w:rPr>
                <w:b/>
                <w:sz w:val="22"/>
                <w:szCs w:val="22"/>
              </w:rPr>
            </w:pPr>
            <w:r>
              <w:rPr>
                <w:b/>
                <w:sz w:val="22"/>
                <w:szCs w:val="22"/>
              </w:rPr>
              <w:t>Hazelnut</w:t>
            </w:r>
          </w:p>
        </w:tc>
        <w:tc>
          <w:tcPr>
            <w:tcW w:w="1844" w:type="dxa"/>
            <w:shd w:val="clear" w:color="auto" w:fill="E7E6E6"/>
          </w:tcPr>
          <w:p w14:paraId="4B399D64" w14:textId="77777777" w:rsidR="008352E7" w:rsidRDefault="008352E7" w:rsidP="008352E7">
            <w:pPr>
              <w:spacing w:line="276" w:lineRule="auto"/>
              <w:jc w:val="center"/>
              <w:rPr>
                <w:b/>
                <w:sz w:val="22"/>
                <w:szCs w:val="22"/>
              </w:rPr>
            </w:pPr>
            <w:r>
              <w:rPr>
                <w:b/>
                <w:sz w:val="22"/>
                <w:szCs w:val="22"/>
              </w:rPr>
              <w:t>Cor a 1.0401, 8, 9, 11, 12, 14</w:t>
            </w:r>
          </w:p>
        </w:tc>
        <w:tc>
          <w:tcPr>
            <w:tcW w:w="921" w:type="dxa"/>
          </w:tcPr>
          <w:p w14:paraId="7C57E874" w14:textId="77777777" w:rsidR="008352E7" w:rsidRDefault="008352E7" w:rsidP="008352E7">
            <w:pPr>
              <w:spacing w:line="276" w:lineRule="auto"/>
              <w:jc w:val="center"/>
              <w:rPr>
                <w:sz w:val="22"/>
                <w:szCs w:val="22"/>
              </w:rPr>
            </w:pPr>
            <w:r>
              <w:rPr>
                <w:sz w:val="22"/>
                <w:szCs w:val="22"/>
              </w:rPr>
              <w:t>100%</w:t>
            </w:r>
          </w:p>
        </w:tc>
        <w:tc>
          <w:tcPr>
            <w:tcW w:w="922" w:type="dxa"/>
          </w:tcPr>
          <w:p w14:paraId="537DB641" w14:textId="77777777" w:rsidR="008352E7" w:rsidRDefault="008352E7" w:rsidP="008352E7">
            <w:pPr>
              <w:spacing w:line="276" w:lineRule="auto"/>
              <w:jc w:val="center"/>
              <w:rPr>
                <w:sz w:val="22"/>
                <w:szCs w:val="22"/>
              </w:rPr>
            </w:pPr>
            <w:r>
              <w:rPr>
                <w:sz w:val="22"/>
                <w:szCs w:val="22"/>
              </w:rPr>
              <w:t>91.3%</w:t>
            </w:r>
          </w:p>
        </w:tc>
        <w:tc>
          <w:tcPr>
            <w:tcW w:w="1559" w:type="dxa"/>
            <w:shd w:val="clear" w:color="auto" w:fill="E7E6E6"/>
          </w:tcPr>
          <w:p w14:paraId="18C5CF3B" w14:textId="77777777" w:rsidR="008352E7" w:rsidRDefault="008352E7" w:rsidP="008352E7">
            <w:pPr>
              <w:spacing w:line="276" w:lineRule="auto"/>
              <w:jc w:val="center"/>
              <w:rPr>
                <w:b/>
                <w:sz w:val="22"/>
                <w:szCs w:val="22"/>
              </w:rPr>
            </w:pPr>
            <w:r>
              <w:rPr>
                <w:b/>
                <w:sz w:val="22"/>
                <w:szCs w:val="22"/>
              </w:rPr>
              <w:t>Cor a 1.0104, 8, 9</w:t>
            </w:r>
          </w:p>
        </w:tc>
        <w:tc>
          <w:tcPr>
            <w:tcW w:w="921" w:type="dxa"/>
          </w:tcPr>
          <w:p w14:paraId="77ABC852" w14:textId="77777777" w:rsidR="008352E7" w:rsidRDefault="008352E7" w:rsidP="008352E7">
            <w:pPr>
              <w:spacing w:line="276" w:lineRule="auto"/>
              <w:jc w:val="center"/>
              <w:rPr>
                <w:sz w:val="22"/>
                <w:szCs w:val="22"/>
              </w:rPr>
            </w:pPr>
            <w:r>
              <w:rPr>
                <w:sz w:val="22"/>
                <w:szCs w:val="22"/>
              </w:rPr>
              <w:t>90%</w:t>
            </w:r>
          </w:p>
        </w:tc>
        <w:tc>
          <w:tcPr>
            <w:tcW w:w="922" w:type="dxa"/>
          </w:tcPr>
          <w:p w14:paraId="1430F358" w14:textId="77777777" w:rsidR="008352E7" w:rsidRDefault="008352E7" w:rsidP="008352E7">
            <w:pPr>
              <w:spacing w:line="276" w:lineRule="auto"/>
              <w:jc w:val="center"/>
              <w:rPr>
                <w:sz w:val="22"/>
                <w:szCs w:val="22"/>
              </w:rPr>
            </w:pPr>
            <w:r>
              <w:rPr>
                <w:sz w:val="22"/>
                <w:szCs w:val="22"/>
              </w:rPr>
              <w:t>100%</w:t>
            </w:r>
          </w:p>
        </w:tc>
        <w:tc>
          <w:tcPr>
            <w:tcW w:w="1417" w:type="dxa"/>
          </w:tcPr>
          <w:p w14:paraId="34F42CB1" w14:textId="77777777" w:rsidR="008352E7" w:rsidRDefault="008352E7" w:rsidP="008352E7">
            <w:pPr>
              <w:spacing w:line="276" w:lineRule="auto"/>
              <w:jc w:val="center"/>
              <w:rPr>
                <w:sz w:val="22"/>
                <w:szCs w:val="22"/>
              </w:rPr>
            </w:pPr>
            <w:r>
              <w:rPr>
                <w:sz w:val="22"/>
                <w:szCs w:val="22"/>
              </w:rPr>
              <w:t>0.125</w:t>
            </w:r>
          </w:p>
        </w:tc>
        <w:tc>
          <w:tcPr>
            <w:tcW w:w="1134" w:type="dxa"/>
            <w:shd w:val="clear" w:color="auto" w:fill="D9D9D9"/>
          </w:tcPr>
          <w:p w14:paraId="16636536" w14:textId="77777777" w:rsidR="008352E7" w:rsidRDefault="008352E7" w:rsidP="008352E7">
            <w:pPr>
              <w:spacing w:line="276" w:lineRule="auto"/>
              <w:jc w:val="center"/>
              <w:rPr>
                <w:b/>
                <w:sz w:val="22"/>
                <w:szCs w:val="22"/>
              </w:rPr>
            </w:pPr>
            <w:r>
              <w:rPr>
                <w:b/>
                <w:sz w:val="22"/>
                <w:szCs w:val="22"/>
              </w:rPr>
              <w:t>Cor a</w:t>
            </w:r>
          </w:p>
        </w:tc>
        <w:tc>
          <w:tcPr>
            <w:tcW w:w="927" w:type="dxa"/>
          </w:tcPr>
          <w:p w14:paraId="7E2E7319" w14:textId="77777777" w:rsidR="008352E7" w:rsidRDefault="008352E7" w:rsidP="008352E7">
            <w:pPr>
              <w:spacing w:line="276" w:lineRule="auto"/>
              <w:jc w:val="center"/>
              <w:rPr>
                <w:sz w:val="22"/>
                <w:szCs w:val="22"/>
              </w:rPr>
            </w:pPr>
            <w:r>
              <w:rPr>
                <w:sz w:val="22"/>
                <w:szCs w:val="22"/>
              </w:rPr>
              <w:t>100%</w:t>
            </w:r>
          </w:p>
        </w:tc>
        <w:tc>
          <w:tcPr>
            <w:tcW w:w="928" w:type="dxa"/>
          </w:tcPr>
          <w:p w14:paraId="570285E9" w14:textId="77777777" w:rsidR="008352E7" w:rsidRDefault="008352E7" w:rsidP="008352E7">
            <w:pPr>
              <w:spacing w:line="276" w:lineRule="auto"/>
              <w:jc w:val="center"/>
              <w:rPr>
                <w:sz w:val="22"/>
                <w:szCs w:val="22"/>
              </w:rPr>
            </w:pPr>
            <w:r>
              <w:rPr>
                <w:sz w:val="22"/>
                <w:szCs w:val="22"/>
              </w:rPr>
              <w:t>100%</w:t>
            </w:r>
          </w:p>
        </w:tc>
        <w:tc>
          <w:tcPr>
            <w:tcW w:w="1320" w:type="dxa"/>
          </w:tcPr>
          <w:p w14:paraId="16D810FE" w14:textId="77777777" w:rsidR="008352E7" w:rsidRDefault="008352E7" w:rsidP="008352E7">
            <w:pPr>
              <w:spacing w:line="276" w:lineRule="auto"/>
              <w:jc w:val="center"/>
              <w:rPr>
                <w:sz w:val="22"/>
                <w:szCs w:val="22"/>
              </w:rPr>
            </w:pPr>
            <w:r>
              <w:rPr>
                <w:sz w:val="22"/>
                <w:szCs w:val="22"/>
              </w:rPr>
              <w:t>0.500</w:t>
            </w:r>
          </w:p>
        </w:tc>
      </w:tr>
      <w:tr w:rsidR="008352E7" w14:paraId="0B92F0F0" w14:textId="77777777" w:rsidTr="005F5C5A">
        <w:trPr>
          <w:trHeight w:val="19"/>
        </w:trPr>
        <w:tc>
          <w:tcPr>
            <w:tcW w:w="1270" w:type="dxa"/>
          </w:tcPr>
          <w:p w14:paraId="685D25CB" w14:textId="77777777" w:rsidR="008352E7" w:rsidRDefault="008352E7" w:rsidP="008352E7">
            <w:pPr>
              <w:spacing w:line="276" w:lineRule="auto"/>
              <w:jc w:val="center"/>
              <w:rPr>
                <w:b/>
                <w:sz w:val="22"/>
                <w:szCs w:val="22"/>
              </w:rPr>
            </w:pPr>
            <w:r>
              <w:rPr>
                <w:b/>
                <w:sz w:val="22"/>
                <w:szCs w:val="22"/>
              </w:rPr>
              <w:lastRenderedPageBreak/>
              <w:t>Peanut</w:t>
            </w:r>
          </w:p>
        </w:tc>
        <w:tc>
          <w:tcPr>
            <w:tcW w:w="1844" w:type="dxa"/>
            <w:shd w:val="clear" w:color="auto" w:fill="E7E6E6"/>
          </w:tcPr>
          <w:p w14:paraId="587FBAEE" w14:textId="77777777" w:rsidR="008352E7" w:rsidRDefault="008352E7" w:rsidP="008352E7">
            <w:pPr>
              <w:spacing w:line="276" w:lineRule="auto"/>
              <w:jc w:val="center"/>
              <w:rPr>
                <w:b/>
                <w:sz w:val="22"/>
                <w:szCs w:val="22"/>
              </w:rPr>
            </w:pPr>
            <w:r>
              <w:rPr>
                <w:b/>
                <w:sz w:val="22"/>
                <w:szCs w:val="22"/>
              </w:rPr>
              <w:t>Ara h 1, 2, 3, 6, 8, 9, 15</w:t>
            </w:r>
          </w:p>
        </w:tc>
        <w:tc>
          <w:tcPr>
            <w:tcW w:w="921" w:type="dxa"/>
          </w:tcPr>
          <w:p w14:paraId="373322AA" w14:textId="77777777" w:rsidR="008352E7" w:rsidRDefault="008352E7" w:rsidP="008352E7">
            <w:pPr>
              <w:spacing w:line="276" w:lineRule="auto"/>
              <w:jc w:val="center"/>
              <w:rPr>
                <w:sz w:val="22"/>
                <w:szCs w:val="22"/>
              </w:rPr>
            </w:pPr>
            <w:r>
              <w:rPr>
                <w:sz w:val="22"/>
                <w:szCs w:val="22"/>
              </w:rPr>
              <w:t>94.7%</w:t>
            </w:r>
          </w:p>
        </w:tc>
        <w:tc>
          <w:tcPr>
            <w:tcW w:w="922" w:type="dxa"/>
          </w:tcPr>
          <w:p w14:paraId="3FC5A44E" w14:textId="77777777" w:rsidR="008352E7" w:rsidRDefault="008352E7" w:rsidP="008352E7">
            <w:pPr>
              <w:spacing w:line="276" w:lineRule="auto"/>
              <w:jc w:val="center"/>
              <w:rPr>
                <w:sz w:val="22"/>
                <w:szCs w:val="22"/>
              </w:rPr>
            </w:pPr>
            <w:r>
              <w:rPr>
                <w:sz w:val="22"/>
                <w:szCs w:val="22"/>
              </w:rPr>
              <w:t>95.7%</w:t>
            </w:r>
          </w:p>
        </w:tc>
        <w:tc>
          <w:tcPr>
            <w:tcW w:w="1559" w:type="dxa"/>
            <w:shd w:val="clear" w:color="auto" w:fill="E7E6E6"/>
          </w:tcPr>
          <w:p w14:paraId="1C3D284B" w14:textId="77777777" w:rsidR="008352E7" w:rsidRDefault="008352E7" w:rsidP="008352E7">
            <w:pPr>
              <w:spacing w:line="276" w:lineRule="auto"/>
              <w:jc w:val="center"/>
              <w:rPr>
                <w:b/>
                <w:sz w:val="22"/>
                <w:szCs w:val="22"/>
              </w:rPr>
            </w:pPr>
            <w:r>
              <w:rPr>
                <w:b/>
                <w:sz w:val="22"/>
                <w:szCs w:val="22"/>
              </w:rPr>
              <w:t>Ara h 1, 2, 3, 6, 8, 9</w:t>
            </w:r>
          </w:p>
        </w:tc>
        <w:tc>
          <w:tcPr>
            <w:tcW w:w="921" w:type="dxa"/>
          </w:tcPr>
          <w:p w14:paraId="713F848F" w14:textId="77777777" w:rsidR="008352E7" w:rsidRDefault="008352E7" w:rsidP="008352E7">
            <w:pPr>
              <w:spacing w:line="276" w:lineRule="auto"/>
              <w:jc w:val="center"/>
              <w:rPr>
                <w:sz w:val="22"/>
                <w:szCs w:val="22"/>
              </w:rPr>
            </w:pPr>
            <w:r>
              <w:rPr>
                <w:sz w:val="22"/>
                <w:szCs w:val="22"/>
              </w:rPr>
              <w:t>84.2%</w:t>
            </w:r>
          </w:p>
        </w:tc>
        <w:tc>
          <w:tcPr>
            <w:tcW w:w="922" w:type="dxa"/>
          </w:tcPr>
          <w:p w14:paraId="2CCD4E72" w14:textId="77777777" w:rsidR="008352E7" w:rsidRDefault="008352E7" w:rsidP="008352E7">
            <w:pPr>
              <w:spacing w:line="276" w:lineRule="auto"/>
              <w:jc w:val="center"/>
              <w:rPr>
                <w:sz w:val="22"/>
                <w:szCs w:val="22"/>
              </w:rPr>
            </w:pPr>
            <w:r>
              <w:rPr>
                <w:sz w:val="22"/>
                <w:szCs w:val="22"/>
              </w:rPr>
              <w:t>100%</w:t>
            </w:r>
          </w:p>
        </w:tc>
        <w:tc>
          <w:tcPr>
            <w:tcW w:w="1417" w:type="dxa"/>
          </w:tcPr>
          <w:p w14:paraId="5B4745DA" w14:textId="77777777" w:rsidR="008352E7" w:rsidRDefault="008352E7" w:rsidP="008352E7">
            <w:pPr>
              <w:spacing w:line="276" w:lineRule="auto"/>
              <w:jc w:val="center"/>
              <w:rPr>
                <w:sz w:val="22"/>
                <w:szCs w:val="22"/>
              </w:rPr>
            </w:pPr>
            <w:r>
              <w:rPr>
                <w:sz w:val="22"/>
                <w:szCs w:val="22"/>
              </w:rPr>
              <w:t>0.250</w:t>
            </w:r>
          </w:p>
        </w:tc>
        <w:tc>
          <w:tcPr>
            <w:tcW w:w="1134" w:type="dxa"/>
            <w:shd w:val="clear" w:color="auto" w:fill="D9D9D9"/>
          </w:tcPr>
          <w:p w14:paraId="584F9F40" w14:textId="77777777" w:rsidR="008352E7" w:rsidRDefault="008352E7" w:rsidP="008352E7">
            <w:pPr>
              <w:spacing w:line="276" w:lineRule="auto"/>
              <w:jc w:val="center"/>
              <w:rPr>
                <w:b/>
                <w:sz w:val="22"/>
                <w:szCs w:val="22"/>
              </w:rPr>
            </w:pPr>
            <w:r>
              <w:rPr>
                <w:b/>
                <w:sz w:val="22"/>
                <w:szCs w:val="22"/>
              </w:rPr>
              <w:t>Ara h</w:t>
            </w:r>
          </w:p>
        </w:tc>
        <w:tc>
          <w:tcPr>
            <w:tcW w:w="927" w:type="dxa"/>
          </w:tcPr>
          <w:p w14:paraId="019D390A" w14:textId="77777777" w:rsidR="008352E7" w:rsidRDefault="008352E7" w:rsidP="008352E7">
            <w:pPr>
              <w:spacing w:line="276" w:lineRule="auto"/>
              <w:jc w:val="center"/>
              <w:rPr>
                <w:sz w:val="22"/>
                <w:szCs w:val="22"/>
              </w:rPr>
            </w:pPr>
            <w:r>
              <w:rPr>
                <w:sz w:val="22"/>
                <w:szCs w:val="22"/>
              </w:rPr>
              <w:t>100%</w:t>
            </w:r>
          </w:p>
        </w:tc>
        <w:tc>
          <w:tcPr>
            <w:tcW w:w="928" w:type="dxa"/>
          </w:tcPr>
          <w:p w14:paraId="07A1DF7F" w14:textId="77777777" w:rsidR="008352E7" w:rsidRDefault="008352E7" w:rsidP="008352E7">
            <w:pPr>
              <w:spacing w:line="276" w:lineRule="auto"/>
              <w:jc w:val="center"/>
              <w:rPr>
                <w:sz w:val="22"/>
                <w:szCs w:val="22"/>
              </w:rPr>
            </w:pPr>
            <w:r>
              <w:rPr>
                <w:sz w:val="22"/>
                <w:szCs w:val="22"/>
              </w:rPr>
              <w:t>100%</w:t>
            </w:r>
          </w:p>
        </w:tc>
        <w:tc>
          <w:tcPr>
            <w:tcW w:w="1320" w:type="dxa"/>
          </w:tcPr>
          <w:p w14:paraId="6807BAB7" w14:textId="77777777" w:rsidR="008352E7" w:rsidRDefault="008352E7" w:rsidP="008352E7">
            <w:pPr>
              <w:spacing w:line="276" w:lineRule="auto"/>
              <w:jc w:val="center"/>
              <w:rPr>
                <w:sz w:val="22"/>
                <w:szCs w:val="22"/>
              </w:rPr>
            </w:pPr>
            <w:r>
              <w:rPr>
                <w:sz w:val="22"/>
                <w:szCs w:val="22"/>
              </w:rPr>
              <w:t>1.000</w:t>
            </w:r>
          </w:p>
        </w:tc>
      </w:tr>
    </w:tbl>
    <w:p w14:paraId="1F31D8F1" w14:textId="77777777" w:rsidR="005F5C5A" w:rsidRDefault="005F5C5A" w:rsidP="008352E7">
      <w:pPr>
        <w:spacing w:line="276" w:lineRule="auto"/>
        <w:rPr>
          <w:b/>
        </w:rPr>
        <w:sectPr w:rsidR="005F5C5A">
          <w:pgSz w:w="16838" w:h="11906" w:orient="landscape"/>
          <w:pgMar w:top="1134" w:right="1440" w:bottom="1134" w:left="1440" w:header="709" w:footer="709" w:gutter="0"/>
          <w:cols w:space="720"/>
        </w:sectPr>
      </w:pPr>
    </w:p>
    <w:p w14:paraId="565C6067" w14:textId="77777777" w:rsidR="001C332B" w:rsidRDefault="008352E7" w:rsidP="008352E7">
      <w:pPr>
        <w:spacing w:line="276" w:lineRule="auto"/>
      </w:pPr>
      <w:r>
        <w:rPr>
          <w:b/>
        </w:rPr>
        <w:lastRenderedPageBreak/>
        <w:t>Table II.</w:t>
      </w:r>
      <w:r>
        <w:t xml:space="preserve"> Frequency of sensitization to the components from the studied allergen sources of the evaluated allergens present in ALEX2,</w:t>
      </w:r>
      <w:r>
        <w:rPr>
          <w:vertAlign w:val="superscript"/>
        </w:rPr>
        <w:t xml:space="preserve"> </w:t>
      </w:r>
      <w:r>
        <w:t xml:space="preserve">ISAC112 and ImmunoCAP for cases and controls. Qualitative comparisons are represented in terms of positive/negative results between ALEX2 </w:t>
      </w:r>
      <w:proofErr w:type="spellStart"/>
      <w:r>
        <w:t>sIgE</w:t>
      </w:r>
      <w:proofErr w:type="spellEnd"/>
      <w:r>
        <w:t xml:space="preserve"> and ImmunoCAP/ISAC112 </w:t>
      </w:r>
      <w:proofErr w:type="spellStart"/>
      <w:r>
        <w:t>sIgE</w:t>
      </w:r>
      <w:proofErr w:type="spellEnd"/>
      <w:r>
        <w:t xml:space="preserve"> to different components. NA means not analyzed due to negative results by all techniques. </w:t>
      </w:r>
      <w:r w:rsidR="006E6B76">
        <w:rPr>
          <w:i/>
          <w:sz w:val="22"/>
          <w:szCs w:val="22"/>
        </w:rPr>
        <w:t>P</w:t>
      </w:r>
      <w:r w:rsidR="0023095A">
        <w:rPr>
          <w:i/>
          <w:sz w:val="22"/>
          <w:szCs w:val="22"/>
        </w:rPr>
        <w:t>-values</w:t>
      </w:r>
      <w:r>
        <w:rPr>
          <w:sz w:val="22"/>
          <w:szCs w:val="22"/>
        </w:rPr>
        <w:t>&lt;0.05 are marked in bold letters.</w:t>
      </w:r>
    </w:p>
    <w:p w14:paraId="30EB3ADE" w14:textId="77777777" w:rsidR="001C332B" w:rsidRDefault="001C332B" w:rsidP="008352E7">
      <w:pPr>
        <w:spacing w:line="276" w:lineRule="auto"/>
        <w:rPr>
          <w:highlight w:val="green"/>
        </w:rPr>
      </w:pPr>
    </w:p>
    <w:tbl>
      <w:tblPr>
        <w:tblStyle w:val="affff5"/>
        <w:tblW w:w="9867"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76"/>
        <w:gridCol w:w="1134"/>
        <w:gridCol w:w="851"/>
        <w:gridCol w:w="992"/>
        <w:gridCol w:w="859"/>
        <w:gridCol w:w="960"/>
        <w:gridCol w:w="945"/>
        <w:gridCol w:w="886"/>
        <w:gridCol w:w="1028"/>
        <w:gridCol w:w="936"/>
      </w:tblGrid>
      <w:tr w:rsidR="001C332B" w14:paraId="4FF8596C" w14:textId="77777777" w:rsidTr="006E6B76">
        <w:trPr>
          <w:trHeight w:val="420"/>
        </w:trPr>
        <w:tc>
          <w:tcPr>
            <w:tcW w:w="2410" w:type="dxa"/>
            <w:gridSpan w:val="2"/>
            <w:shd w:val="clear" w:color="auto" w:fill="FFFFFF"/>
          </w:tcPr>
          <w:p w14:paraId="4B3E1C42" w14:textId="77777777" w:rsidR="001C332B" w:rsidRDefault="008352E7" w:rsidP="006E6B76">
            <w:pPr>
              <w:rPr>
                <w:b/>
                <w:sz w:val="22"/>
                <w:szCs w:val="22"/>
              </w:rPr>
            </w:pPr>
            <w:r>
              <w:rPr>
                <w:b/>
                <w:sz w:val="22"/>
                <w:szCs w:val="22"/>
              </w:rPr>
              <w:t>% Sensitization</w:t>
            </w:r>
          </w:p>
        </w:tc>
        <w:tc>
          <w:tcPr>
            <w:tcW w:w="1843" w:type="dxa"/>
            <w:gridSpan w:val="2"/>
            <w:shd w:val="clear" w:color="auto" w:fill="FFFFFF"/>
          </w:tcPr>
          <w:p w14:paraId="28CEE000" w14:textId="77777777" w:rsidR="001C332B" w:rsidRPr="005F5C5A" w:rsidRDefault="008352E7" w:rsidP="006E6B76">
            <w:pPr>
              <w:jc w:val="center"/>
              <w:rPr>
                <w:b/>
                <w:sz w:val="22"/>
                <w:szCs w:val="22"/>
              </w:rPr>
            </w:pPr>
            <w:r w:rsidRPr="005F5C5A">
              <w:rPr>
                <w:b/>
                <w:sz w:val="22"/>
                <w:szCs w:val="22"/>
              </w:rPr>
              <w:t>ALEX</w:t>
            </w:r>
            <w:r w:rsidRPr="005F5C5A">
              <w:rPr>
                <w:b/>
              </w:rPr>
              <w:t>2</w:t>
            </w:r>
          </w:p>
        </w:tc>
        <w:tc>
          <w:tcPr>
            <w:tcW w:w="1819" w:type="dxa"/>
            <w:gridSpan w:val="2"/>
            <w:shd w:val="clear" w:color="auto" w:fill="FFFFFF"/>
          </w:tcPr>
          <w:p w14:paraId="2374398B" w14:textId="77777777" w:rsidR="001C332B" w:rsidRPr="005F5C5A" w:rsidRDefault="008352E7" w:rsidP="006E6B76">
            <w:pPr>
              <w:jc w:val="center"/>
              <w:rPr>
                <w:b/>
                <w:sz w:val="22"/>
                <w:szCs w:val="22"/>
              </w:rPr>
            </w:pPr>
            <w:r w:rsidRPr="005F5C5A">
              <w:rPr>
                <w:b/>
                <w:sz w:val="22"/>
                <w:szCs w:val="22"/>
              </w:rPr>
              <w:t>ImmunoCAP</w:t>
            </w:r>
          </w:p>
        </w:tc>
        <w:tc>
          <w:tcPr>
            <w:tcW w:w="945" w:type="dxa"/>
            <w:shd w:val="clear" w:color="auto" w:fill="FFFFFF"/>
          </w:tcPr>
          <w:p w14:paraId="3CD03F4C" w14:textId="77777777" w:rsidR="005F5C5A" w:rsidRPr="005F5C5A" w:rsidRDefault="005F5C5A" w:rsidP="006E6B76">
            <w:pPr>
              <w:jc w:val="center"/>
              <w:rPr>
                <w:b/>
                <w:sz w:val="18"/>
                <w:szCs w:val="18"/>
              </w:rPr>
            </w:pPr>
            <w:r w:rsidRPr="005F5C5A">
              <w:rPr>
                <w:b/>
                <w:sz w:val="18"/>
                <w:szCs w:val="18"/>
              </w:rPr>
              <w:t>ALEX2</w:t>
            </w:r>
          </w:p>
          <w:p w14:paraId="1C190A1F" w14:textId="77777777" w:rsidR="001C332B" w:rsidRPr="005F5C5A" w:rsidRDefault="008352E7" w:rsidP="006E6B76">
            <w:pPr>
              <w:jc w:val="center"/>
              <w:rPr>
                <w:b/>
                <w:sz w:val="20"/>
                <w:szCs w:val="20"/>
              </w:rPr>
            </w:pPr>
            <w:r w:rsidRPr="005F5C5A">
              <w:rPr>
                <w:b/>
                <w:sz w:val="18"/>
                <w:szCs w:val="18"/>
              </w:rPr>
              <w:t>vs. ImmunoCAP</w:t>
            </w:r>
          </w:p>
        </w:tc>
        <w:tc>
          <w:tcPr>
            <w:tcW w:w="1914" w:type="dxa"/>
            <w:gridSpan w:val="2"/>
            <w:shd w:val="clear" w:color="auto" w:fill="FFFFFF"/>
          </w:tcPr>
          <w:p w14:paraId="07A613FE" w14:textId="77777777" w:rsidR="001C332B" w:rsidRPr="005F5C5A" w:rsidRDefault="008352E7" w:rsidP="006E6B76">
            <w:pPr>
              <w:jc w:val="center"/>
              <w:rPr>
                <w:b/>
                <w:sz w:val="22"/>
                <w:szCs w:val="22"/>
              </w:rPr>
            </w:pPr>
            <w:r w:rsidRPr="005F5C5A">
              <w:rPr>
                <w:b/>
                <w:sz w:val="22"/>
                <w:szCs w:val="22"/>
              </w:rPr>
              <w:t>ISAC112</w:t>
            </w:r>
          </w:p>
        </w:tc>
        <w:tc>
          <w:tcPr>
            <w:tcW w:w="936" w:type="dxa"/>
            <w:shd w:val="clear" w:color="auto" w:fill="FFFFFF"/>
          </w:tcPr>
          <w:p w14:paraId="0959AAC1" w14:textId="77777777" w:rsidR="001C332B" w:rsidRPr="005F5C5A" w:rsidRDefault="008352E7" w:rsidP="006E6B76">
            <w:pPr>
              <w:jc w:val="center"/>
              <w:rPr>
                <w:b/>
                <w:sz w:val="20"/>
                <w:szCs w:val="20"/>
              </w:rPr>
            </w:pPr>
            <w:r w:rsidRPr="005F5C5A">
              <w:rPr>
                <w:b/>
                <w:sz w:val="18"/>
                <w:szCs w:val="18"/>
              </w:rPr>
              <w:t>ALEX2 vs. ISAC112</w:t>
            </w:r>
          </w:p>
        </w:tc>
      </w:tr>
      <w:tr w:rsidR="001C332B" w14:paraId="3CBE3D32" w14:textId="77777777" w:rsidTr="006E6B76">
        <w:trPr>
          <w:trHeight w:val="113"/>
        </w:trPr>
        <w:tc>
          <w:tcPr>
            <w:tcW w:w="2410" w:type="dxa"/>
            <w:gridSpan w:val="2"/>
            <w:shd w:val="clear" w:color="auto" w:fill="FFFFFF"/>
          </w:tcPr>
          <w:p w14:paraId="058B5DA1" w14:textId="77777777" w:rsidR="001C332B" w:rsidRDefault="008352E7" w:rsidP="006E6B76">
            <w:pPr>
              <w:rPr>
                <w:b/>
                <w:sz w:val="22"/>
                <w:szCs w:val="22"/>
              </w:rPr>
            </w:pPr>
            <w:r>
              <w:rPr>
                <w:b/>
                <w:sz w:val="22"/>
                <w:szCs w:val="22"/>
              </w:rPr>
              <w:t>Biological source and components</w:t>
            </w:r>
          </w:p>
        </w:tc>
        <w:tc>
          <w:tcPr>
            <w:tcW w:w="851" w:type="dxa"/>
            <w:shd w:val="clear" w:color="auto" w:fill="CCCCCC"/>
          </w:tcPr>
          <w:p w14:paraId="4E939159" w14:textId="77777777" w:rsidR="001C332B" w:rsidRPr="005F5C5A" w:rsidRDefault="008352E7" w:rsidP="006E6B76">
            <w:pPr>
              <w:jc w:val="center"/>
              <w:rPr>
                <w:b/>
                <w:sz w:val="18"/>
                <w:szCs w:val="22"/>
              </w:rPr>
            </w:pPr>
            <w:r w:rsidRPr="005F5C5A">
              <w:rPr>
                <w:b/>
                <w:sz w:val="18"/>
                <w:szCs w:val="22"/>
              </w:rPr>
              <w:t>Cases</w:t>
            </w:r>
          </w:p>
        </w:tc>
        <w:tc>
          <w:tcPr>
            <w:tcW w:w="992" w:type="dxa"/>
            <w:shd w:val="clear" w:color="auto" w:fill="CCCCCC"/>
          </w:tcPr>
          <w:p w14:paraId="0E3BF574" w14:textId="77777777" w:rsidR="001C332B" w:rsidRPr="005F5C5A" w:rsidRDefault="008352E7" w:rsidP="006E6B76">
            <w:pPr>
              <w:jc w:val="center"/>
              <w:rPr>
                <w:b/>
                <w:sz w:val="18"/>
                <w:szCs w:val="22"/>
              </w:rPr>
            </w:pPr>
            <w:r w:rsidRPr="005F5C5A">
              <w:rPr>
                <w:b/>
                <w:sz w:val="18"/>
                <w:szCs w:val="22"/>
              </w:rPr>
              <w:t>Controls</w:t>
            </w:r>
          </w:p>
        </w:tc>
        <w:tc>
          <w:tcPr>
            <w:tcW w:w="859" w:type="dxa"/>
            <w:shd w:val="clear" w:color="auto" w:fill="CCCCCC"/>
          </w:tcPr>
          <w:p w14:paraId="2D4408C2" w14:textId="77777777" w:rsidR="001C332B" w:rsidRPr="005F5C5A" w:rsidRDefault="008352E7" w:rsidP="006E6B76">
            <w:pPr>
              <w:jc w:val="center"/>
              <w:rPr>
                <w:b/>
                <w:sz w:val="18"/>
                <w:szCs w:val="22"/>
              </w:rPr>
            </w:pPr>
            <w:r w:rsidRPr="005F5C5A">
              <w:rPr>
                <w:b/>
                <w:sz w:val="18"/>
                <w:szCs w:val="22"/>
              </w:rPr>
              <w:t>Cases</w:t>
            </w:r>
          </w:p>
        </w:tc>
        <w:tc>
          <w:tcPr>
            <w:tcW w:w="960" w:type="dxa"/>
            <w:shd w:val="clear" w:color="auto" w:fill="CCCCCC"/>
          </w:tcPr>
          <w:p w14:paraId="2610B4FF" w14:textId="77777777" w:rsidR="001C332B" w:rsidRPr="005F5C5A" w:rsidRDefault="008352E7" w:rsidP="006E6B76">
            <w:pPr>
              <w:jc w:val="center"/>
              <w:rPr>
                <w:b/>
                <w:sz w:val="18"/>
                <w:szCs w:val="22"/>
              </w:rPr>
            </w:pPr>
            <w:r w:rsidRPr="005F5C5A">
              <w:rPr>
                <w:b/>
                <w:sz w:val="18"/>
                <w:szCs w:val="22"/>
              </w:rPr>
              <w:t>Controls</w:t>
            </w:r>
          </w:p>
        </w:tc>
        <w:tc>
          <w:tcPr>
            <w:tcW w:w="945" w:type="dxa"/>
            <w:shd w:val="clear" w:color="auto" w:fill="CCCCCC"/>
          </w:tcPr>
          <w:p w14:paraId="69FC6F27" w14:textId="77777777" w:rsidR="001C332B" w:rsidRDefault="008352E7" w:rsidP="006E6B76">
            <w:pPr>
              <w:jc w:val="center"/>
            </w:pPr>
            <w:r>
              <w:t>κ</w:t>
            </w:r>
          </w:p>
          <w:p w14:paraId="1441272D" w14:textId="77777777" w:rsidR="001C332B" w:rsidRDefault="008352E7" w:rsidP="006E6B76">
            <w:pPr>
              <w:jc w:val="center"/>
              <w:rPr>
                <w:b/>
                <w:sz w:val="22"/>
                <w:szCs w:val="22"/>
              </w:rPr>
            </w:pPr>
            <w:r>
              <w:rPr>
                <w:b/>
                <w:i/>
                <w:sz w:val="16"/>
                <w:szCs w:val="16"/>
              </w:rPr>
              <w:t>(</w:t>
            </w:r>
            <w:r w:rsidR="005F5C5A">
              <w:rPr>
                <w:b/>
                <w:i/>
                <w:sz w:val="16"/>
                <w:szCs w:val="16"/>
              </w:rPr>
              <w:t>P</w:t>
            </w:r>
            <w:r>
              <w:rPr>
                <w:b/>
                <w:i/>
                <w:sz w:val="16"/>
                <w:szCs w:val="16"/>
              </w:rPr>
              <w:t xml:space="preserve"> Mc </w:t>
            </w:r>
            <w:proofErr w:type="spellStart"/>
            <w:r>
              <w:rPr>
                <w:b/>
                <w:i/>
                <w:sz w:val="16"/>
                <w:szCs w:val="16"/>
              </w:rPr>
              <w:t>Nemmar</w:t>
            </w:r>
            <w:proofErr w:type="spellEnd"/>
            <w:r>
              <w:rPr>
                <w:b/>
                <w:i/>
                <w:sz w:val="16"/>
                <w:szCs w:val="16"/>
              </w:rPr>
              <w:t>)</w:t>
            </w:r>
          </w:p>
        </w:tc>
        <w:tc>
          <w:tcPr>
            <w:tcW w:w="886" w:type="dxa"/>
            <w:shd w:val="clear" w:color="auto" w:fill="CCCCCC"/>
          </w:tcPr>
          <w:p w14:paraId="2288B46E" w14:textId="77777777" w:rsidR="001C332B" w:rsidRPr="005F5C5A" w:rsidRDefault="008352E7" w:rsidP="006E6B76">
            <w:pPr>
              <w:jc w:val="center"/>
              <w:rPr>
                <w:b/>
                <w:sz w:val="18"/>
                <w:szCs w:val="22"/>
              </w:rPr>
            </w:pPr>
            <w:r w:rsidRPr="005F5C5A">
              <w:rPr>
                <w:b/>
                <w:sz w:val="18"/>
                <w:szCs w:val="22"/>
              </w:rPr>
              <w:t>Cases</w:t>
            </w:r>
          </w:p>
        </w:tc>
        <w:tc>
          <w:tcPr>
            <w:tcW w:w="1028" w:type="dxa"/>
            <w:shd w:val="clear" w:color="auto" w:fill="CCCCCC"/>
          </w:tcPr>
          <w:p w14:paraId="717E9395" w14:textId="77777777" w:rsidR="001C332B" w:rsidRPr="005F5C5A" w:rsidRDefault="008352E7" w:rsidP="006E6B76">
            <w:pPr>
              <w:jc w:val="center"/>
              <w:rPr>
                <w:b/>
                <w:sz w:val="18"/>
                <w:szCs w:val="22"/>
              </w:rPr>
            </w:pPr>
            <w:r w:rsidRPr="005F5C5A">
              <w:rPr>
                <w:b/>
                <w:sz w:val="18"/>
                <w:szCs w:val="22"/>
              </w:rPr>
              <w:t>Controls</w:t>
            </w:r>
          </w:p>
        </w:tc>
        <w:tc>
          <w:tcPr>
            <w:tcW w:w="936" w:type="dxa"/>
            <w:shd w:val="clear" w:color="auto" w:fill="CCCCCC"/>
          </w:tcPr>
          <w:p w14:paraId="1FF0C11A" w14:textId="77777777" w:rsidR="001C332B" w:rsidRDefault="008352E7" w:rsidP="006E6B76">
            <w:pPr>
              <w:jc w:val="center"/>
            </w:pPr>
            <w:r>
              <w:t>κ</w:t>
            </w:r>
          </w:p>
          <w:p w14:paraId="722CD397" w14:textId="77777777" w:rsidR="001C332B" w:rsidRDefault="008352E7" w:rsidP="006E6B76">
            <w:pPr>
              <w:jc w:val="center"/>
              <w:rPr>
                <w:b/>
                <w:sz w:val="22"/>
                <w:szCs w:val="22"/>
              </w:rPr>
            </w:pPr>
            <w:r>
              <w:rPr>
                <w:b/>
                <w:i/>
                <w:sz w:val="16"/>
                <w:szCs w:val="16"/>
              </w:rPr>
              <w:t>(</w:t>
            </w:r>
            <w:r w:rsidR="005F5C5A">
              <w:rPr>
                <w:b/>
                <w:i/>
                <w:sz w:val="16"/>
                <w:szCs w:val="16"/>
              </w:rPr>
              <w:t>P</w:t>
            </w:r>
            <w:r>
              <w:rPr>
                <w:b/>
                <w:i/>
                <w:sz w:val="16"/>
                <w:szCs w:val="16"/>
              </w:rPr>
              <w:t xml:space="preserve"> Mc </w:t>
            </w:r>
            <w:proofErr w:type="spellStart"/>
            <w:r>
              <w:rPr>
                <w:b/>
                <w:i/>
                <w:sz w:val="16"/>
                <w:szCs w:val="16"/>
              </w:rPr>
              <w:t>Nemmar</w:t>
            </w:r>
            <w:proofErr w:type="spellEnd"/>
            <w:r>
              <w:rPr>
                <w:b/>
                <w:i/>
                <w:sz w:val="16"/>
                <w:szCs w:val="16"/>
              </w:rPr>
              <w:t>)</w:t>
            </w:r>
          </w:p>
        </w:tc>
      </w:tr>
      <w:tr w:rsidR="001C332B" w14:paraId="030449C2" w14:textId="77777777" w:rsidTr="006E6B76">
        <w:trPr>
          <w:trHeight w:val="113"/>
        </w:trPr>
        <w:tc>
          <w:tcPr>
            <w:tcW w:w="1276" w:type="dxa"/>
            <w:shd w:val="clear" w:color="auto" w:fill="FFFFFF"/>
          </w:tcPr>
          <w:p w14:paraId="693E6C05" w14:textId="77777777" w:rsidR="001C332B" w:rsidRDefault="008352E7" w:rsidP="006E6B76">
            <w:pPr>
              <w:rPr>
                <w:b/>
                <w:sz w:val="18"/>
                <w:szCs w:val="18"/>
              </w:rPr>
            </w:pPr>
            <w:r>
              <w:rPr>
                <w:b/>
                <w:sz w:val="18"/>
                <w:szCs w:val="18"/>
              </w:rPr>
              <w:t>Cypress pollen</w:t>
            </w:r>
          </w:p>
        </w:tc>
        <w:tc>
          <w:tcPr>
            <w:tcW w:w="1134" w:type="dxa"/>
            <w:shd w:val="clear" w:color="auto" w:fill="E7E6E6"/>
          </w:tcPr>
          <w:p w14:paraId="1AC2F940" w14:textId="77777777" w:rsidR="001C332B" w:rsidRDefault="008352E7" w:rsidP="006E6B76">
            <w:pPr>
              <w:rPr>
                <w:b/>
                <w:sz w:val="22"/>
                <w:szCs w:val="22"/>
              </w:rPr>
            </w:pPr>
            <w:r>
              <w:rPr>
                <w:b/>
                <w:sz w:val="22"/>
                <w:szCs w:val="22"/>
              </w:rPr>
              <w:t>Cup a 1</w:t>
            </w:r>
          </w:p>
        </w:tc>
        <w:tc>
          <w:tcPr>
            <w:tcW w:w="851" w:type="dxa"/>
            <w:shd w:val="clear" w:color="auto" w:fill="FFFFFF"/>
          </w:tcPr>
          <w:p w14:paraId="44E0C246" w14:textId="77777777" w:rsidR="001C332B" w:rsidRPr="005F5C5A" w:rsidRDefault="008352E7" w:rsidP="006E6B76">
            <w:pPr>
              <w:jc w:val="center"/>
              <w:rPr>
                <w:sz w:val="20"/>
                <w:szCs w:val="22"/>
              </w:rPr>
            </w:pPr>
            <w:r w:rsidRPr="005F5C5A">
              <w:rPr>
                <w:sz w:val="20"/>
                <w:szCs w:val="22"/>
              </w:rPr>
              <w:t>85.7%</w:t>
            </w:r>
          </w:p>
        </w:tc>
        <w:tc>
          <w:tcPr>
            <w:tcW w:w="992" w:type="dxa"/>
            <w:shd w:val="clear" w:color="auto" w:fill="FFFFFF"/>
          </w:tcPr>
          <w:p w14:paraId="7D89CFD7" w14:textId="77777777" w:rsidR="001C332B" w:rsidRPr="005F5C5A" w:rsidRDefault="008352E7" w:rsidP="006E6B76">
            <w:pPr>
              <w:jc w:val="center"/>
              <w:rPr>
                <w:sz w:val="20"/>
                <w:szCs w:val="22"/>
              </w:rPr>
            </w:pPr>
            <w:r w:rsidRPr="005F5C5A">
              <w:rPr>
                <w:sz w:val="20"/>
                <w:szCs w:val="22"/>
              </w:rPr>
              <w:t>3.8%</w:t>
            </w:r>
          </w:p>
        </w:tc>
        <w:tc>
          <w:tcPr>
            <w:tcW w:w="859" w:type="dxa"/>
            <w:shd w:val="clear" w:color="auto" w:fill="FFFFFF"/>
          </w:tcPr>
          <w:p w14:paraId="2AF77832" w14:textId="77777777" w:rsidR="001C332B" w:rsidRPr="005F5C5A" w:rsidRDefault="008352E7" w:rsidP="006E6B76">
            <w:pPr>
              <w:jc w:val="center"/>
              <w:rPr>
                <w:sz w:val="20"/>
                <w:szCs w:val="22"/>
              </w:rPr>
            </w:pPr>
            <w:r w:rsidRPr="005F5C5A">
              <w:rPr>
                <w:sz w:val="20"/>
                <w:szCs w:val="22"/>
              </w:rPr>
              <w:t>82.1%</w:t>
            </w:r>
          </w:p>
        </w:tc>
        <w:tc>
          <w:tcPr>
            <w:tcW w:w="960" w:type="dxa"/>
            <w:shd w:val="clear" w:color="auto" w:fill="FFFFFF"/>
          </w:tcPr>
          <w:p w14:paraId="72CAF133" w14:textId="77777777" w:rsidR="001C332B" w:rsidRPr="005F5C5A" w:rsidRDefault="008352E7" w:rsidP="006E6B76">
            <w:pPr>
              <w:jc w:val="center"/>
              <w:rPr>
                <w:sz w:val="20"/>
                <w:szCs w:val="22"/>
              </w:rPr>
            </w:pPr>
            <w:r w:rsidRPr="005F5C5A">
              <w:rPr>
                <w:sz w:val="20"/>
                <w:szCs w:val="22"/>
              </w:rPr>
              <w:t>3.8%</w:t>
            </w:r>
          </w:p>
        </w:tc>
        <w:tc>
          <w:tcPr>
            <w:tcW w:w="945" w:type="dxa"/>
            <w:shd w:val="clear" w:color="auto" w:fill="FFFFFF"/>
          </w:tcPr>
          <w:p w14:paraId="6E9425F7" w14:textId="77777777" w:rsidR="001C332B" w:rsidRPr="005F5C5A" w:rsidRDefault="008352E7" w:rsidP="006E6B76">
            <w:pPr>
              <w:jc w:val="center"/>
              <w:rPr>
                <w:sz w:val="20"/>
                <w:szCs w:val="22"/>
              </w:rPr>
            </w:pPr>
            <w:r w:rsidRPr="005F5C5A">
              <w:rPr>
                <w:sz w:val="20"/>
                <w:szCs w:val="22"/>
              </w:rPr>
              <w:t>0.963 (1)</w:t>
            </w:r>
          </w:p>
        </w:tc>
        <w:tc>
          <w:tcPr>
            <w:tcW w:w="886" w:type="dxa"/>
            <w:shd w:val="clear" w:color="auto" w:fill="FFFFFF"/>
          </w:tcPr>
          <w:p w14:paraId="4481590F" w14:textId="77777777" w:rsidR="001C332B" w:rsidRPr="005F5C5A" w:rsidRDefault="008352E7" w:rsidP="006E6B76">
            <w:pPr>
              <w:jc w:val="center"/>
              <w:rPr>
                <w:sz w:val="20"/>
                <w:szCs w:val="22"/>
              </w:rPr>
            </w:pPr>
            <w:r w:rsidRPr="005F5C5A">
              <w:rPr>
                <w:sz w:val="20"/>
                <w:szCs w:val="22"/>
              </w:rPr>
              <w:t>85.7%</w:t>
            </w:r>
          </w:p>
        </w:tc>
        <w:tc>
          <w:tcPr>
            <w:tcW w:w="1028" w:type="dxa"/>
            <w:shd w:val="clear" w:color="auto" w:fill="FFFFFF"/>
          </w:tcPr>
          <w:p w14:paraId="314276AE" w14:textId="77777777" w:rsidR="001C332B" w:rsidRPr="005F5C5A" w:rsidRDefault="008352E7" w:rsidP="006E6B76">
            <w:pPr>
              <w:jc w:val="center"/>
              <w:rPr>
                <w:sz w:val="20"/>
                <w:szCs w:val="22"/>
              </w:rPr>
            </w:pPr>
            <w:r w:rsidRPr="005F5C5A">
              <w:rPr>
                <w:sz w:val="20"/>
                <w:szCs w:val="22"/>
              </w:rPr>
              <w:t>8%</w:t>
            </w:r>
          </w:p>
        </w:tc>
        <w:tc>
          <w:tcPr>
            <w:tcW w:w="936" w:type="dxa"/>
            <w:shd w:val="clear" w:color="auto" w:fill="FFFFFF"/>
          </w:tcPr>
          <w:p w14:paraId="5DCFD012" w14:textId="77777777" w:rsidR="001C332B" w:rsidRPr="005F5C5A" w:rsidRDefault="008352E7" w:rsidP="006E6B76">
            <w:pPr>
              <w:jc w:val="center"/>
              <w:rPr>
                <w:sz w:val="20"/>
                <w:szCs w:val="22"/>
              </w:rPr>
            </w:pPr>
            <w:r w:rsidRPr="005F5C5A">
              <w:rPr>
                <w:sz w:val="20"/>
                <w:szCs w:val="22"/>
              </w:rPr>
              <w:t>0.962</w:t>
            </w:r>
          </w:p>
          <w:p w14:paraId="086E1ABC" w14:textId="77777777" w:rsidR="001C332B" w:rsidRPr="005F5C5A" w:rsidRDefault="008352E7" w:rsidP="006E6B76">
            <w:pPr>
              <w:jc w:val="center"/>
              <w:rPr>
                <w:sz w:val="20"/>
                <w:szCs w:val="22"/>
              </w:rPr>
            </w:pPr>
            <w:r w:rsidRPr="005F5C5A">
              <w:rPr>
                <w:sz w:val="20"/>
                <w:szCs w:val="22"/>
              </w:rPr>
              <w:t>(1)</w:t>
            </w:r>
          </w:p>
        </w:tc>
      </w:tr>
      <w:tr w:rsidR="001C332B" w14:paraId="2287CDF5" w14:textId="77777777" w:rsidTr="006E6B76">
        <w:trPr>
          <w:trHeight w:val="113"/>
        </w:trPr>
        <w:tc>
          <w:tcPr>
            <w:tcW w:w="1276" w:type="dxa"/>
            <w:vMerge w:val="restart"/>
            <w:shd w:val="clear" w:color="auto" w:fill="FFFFFF"/>
          </w:tcPr>
          <w:p w14:paraId="568E5870" w14:textId="77777777" w:rsidR="001C332B" w:rsidRDefault="008352E7" w:rsidP="006E6B76">
            <w:pPr>
              <w:rPr>
                <w:b/>
                <w:sz w:val="18"/>
                <w:szCs w:val="18"/>
              </w:rPr>
            </w:pPr>
            <w:r>
              <w:rPr>
                <w:b/>
                <w:sz w:val="18"/>
                <w:szCs w:val="18"/>
              </w:rPr>
              <w:t xml:space="preserve">Grass </w:t>
            </w:r>
            <w:r>
              <w:rPr>
                <w:b/>
                <w:sz w:val="18"/>
                <w:szCs w:val="18"/>
              </w:rPr>
              <w:br/>
              <w:t>pollen</w:t>
            </w:r>
          </w:p>
        </w:tc>
        <w:tc>
          <w:tcPr>
            <w:tcW w:w="1134" w:type="dxa"/>
            <w:shd w:val="clear" w:color="auto" w:fill="E7E6E6"/>
          </w:tcPr>
          <w:p w14:paraId="2DE3AD0A" w14:textId="77777777" w:rsidR="001C332B" w:rsidRDefault="008352E7" w:rsidP="006E6B76">
            <w:pPr>
              <w:rPr>
                <w:b/>
                <w:sz w:val="22"/>
                <w:szCs w:val="22"/>
              </w:rPr>
            </w:pPr>
            <w:proofErr w:type="spellStart"/>
            <w:r>
              <w:rPr>
                <w:b/>
                <w:sz w:val="22"/>
                <w:szCs w:val="22"/>
              </w:rPr>
              <w:t>Phl</w:t>
            </w:r>
            <w:proofErr w:type="spellEnd"/>
            <w:r>
              <w:rPr>
                <w:b/>
                <w:sz w:val="22"/>
                <w:szCs w:val="22"/>
              </w:rPr>
              <w:t xml:space="preserve"> p 1</w:t>
            </w:r>
          </w:p>
        </w:tc>
        <w:tc>
          <w:tcPr>
            <w:tcW w:w="851" w:type="dxa"/>
            <w:shd w:val="clear" w:color="auto" w:fill="FFFFFF"/>
          </w:tcPr>
          <w:p w14:paraId="127215C7" w14:textId="77777777" w:rsidR="001C332B" w:rsidRPr="005F5C5A" w:rsidRDefault="008352E7" w:rsidP="006E6B76">
            <w:pPr>
              <w:jc w:val="center"/>
              <w:rPr>
                <w:sz w:val="20"/>
                <w:szCs w:val="22"/>
              </w:rPr>
            </w:pPr>
            <w:r w:rsidRPr="005F5C5A">
              <w:rPr>
                <w:sz w:val="20"/>
                <w:szCs w:val="22"/>
              </w:rPr>
              <w:t>96.6%</w:t>
            </w:r>
          </w:p>
        </w:tc>
        <w:tc>
          <w:tcPr>
            <w:tcW w:w="992" w:type="dxa"/>
            <w:shd w:val="clear" w:color="auto" w:fill="FFFFFF"/>
          </w:tcPr>
          <w:p w14:paraId="3DBA2F29" w14:textId="77777777" w:rsidR="001C332B" w:rsidRPr="005F5C5A" w:rsidRDefault="008352E7" w:rsidP="006E6B76">
            <w:pPr>
              <w:jc w:val="center"/>
              <w:rPr>
                <w:sz w:val="20"/>
                <w:szCs w:val="22"/>
              </w:rPr>
            </w:pPr>
            <w:r w:rsidRPr="005F5C5A">
              <w:rPr>
                <w:sz w:val="20"/>
                <w:szCs w:val="22"/>
              </w:rPr>
              <w:t>11.1%</w:t>
            </w:r>
          </w:p>
        </w:tc>
        <w:tc>
          <w:tcPr>
            <w:tcW w:w="859" w:type="dxa"/>
          </w:tcPr>
          <w:p w14:paraId="2AB016C1" w14:textId="77777777" w:rsidR="001C332B" w:rsidRPr="005F5C5A" w:rsidRDefault="008352E7" w:rsidP="006E6B76">
            <w:pPr>
              <w:jc w:val="center"/>
              <w:rPr>
                <w:sz w:val="20"/>
                <w:szCs w:val="22"/>
              </w:rPr>
            </w:pPr>
            <w:r w:rsidRPr="005F5C5A">
              <w:rPr>
                <w:sz w:val="20"/>
                <w:szCs w:val="22"/>
              </w:rPr>
              <w:t>96.4%</w:t>
            </w:r>
          </w:p>
        </w:tc>
        <w:tc>
          <w:tcPr>
            <w:tcW w:w="960" w:type="dxa"/>
          </w:tcPr>
          <w:p w14:paraId="4065C24E" w14:textId="77777777" w:rsidR="001C332B" w:rsidRPr="005F5C5A" w:rsidRDefault="008352E7" w:rsidP="006E6B76">
            <w:pPr>
              <w:jc w:val="center"/>
              <w:rPr>
                <w:sz w:val="20"/>
                <w:szCs w:val="22"/>
              </w:rPr>
            </w:pPr>
            <w:r w:rsidRPr="005F5C5A">
              <w:rPr>
                <w:sz w:val="20"/>
                <w:szCs w:val="22"/>
              </w:rPr>
              <w:t>7.1%</w:t>
            </w:r>
          </w:p>
        </w:tc>
        <w:tc>
          <w:tcPr>
            <w:tcW w:w="945" w:type="dxa"/>
            <w:shd w:val="clear" w:color="auto" w:fill="FFFFFF"/>
          </w:tcPr>
          <w:p w14:paraId="1ADBFC29" w14:textId="77777777" w:rsidR="001C332B" w:rsidRPr="005F5C5A" w:rsidRDefault="008352E7" w:rsidP="006E6B76">
            <w:pPr>
              <w:jc w:val="center"/>
              <w:rPr>
                <w:sz w:val="20"/>
                <w:szCs w:val="22"/>
              </w:rPr>
            </w:pPr>
            <w:r w:rsidRPr="005F5C5A">
              <w:rPr>
                <w:sz w:val="20"/>
                <w:szCs w:val="22"/>
              </w:rPr>
              <w:t>0.893 (0.25)</w:t>
            </w:r>
          </w:p>
        </w:tc>
        <w:tc>
          <w:tcPr>
            <w:tcW w:w="886" w:type="dxa"/>
            <w:shd w:val="clear" w:color="auto" w:fill="FFFFFF"/>
          </w:tcPr>
          <w:p w14:paraId="046571DC" w14:textId="77777777" w:rsidR="001C332B" w:rsidRPr="005F5C5A" w:rsidRDefault="008352E7" w:rsidP="006E6B76">
            <w:pPr>
              <w:jc w:val="center"/>
              <w:rPr>
                <w:sz w:val="20"/>
                <w:szCs w:val="22"/>
              </w:rPr>
            </w:pPr>
            <w:r w:rsidRPr="005F5C5A">
              <w:rPr>
                <w:sz w:val="20"/>
                <w:szCs w:val="22"/>
              </w:rPr>
              <w:t>93.1%</w:t>
            </w:r>
          </w:p>
        </w:tc>
        <w:tc>
          <w:tcPr>
            <w:tcW w:w="1028" w:type="dxa"/>
            <w:shd w:val="clear" w:color="auto" w:fill="FFFFFF"/>
          </w:tcPr>
          <w:p w14:paraId="42CDCAE8" w14:textId="77777777" w:rsidR="001C332B" w:rsidRPr="005F5C5A" w:rsidRDefault="008352E7" w:rsidP="006E6B76">
            <w:pPr>
              <w:jc w:val="center"/>
              <w:rPr>
                <w:sz w:val="20"/>
                <w:szCs w:val="22"/>
              </w:rPr>
            </w:pPr>
            <w:r w:rsidRPr="005F5C5A">
              <w:rPr>
                <w:sz w:val="20"/>
                <w:szCs w:val="22"/>
              </w:rPr>
              <w:t>3.7%</w:t>
            </w:r>
          </w:p>
        </w:tc>
        <w:tc>
          <w:tcPr>
            <w:tcW w:w="936" w:type="dxa"/>
            <w:shd w:val="clear" w:color="auto" w:fill="FFFFFF"/>
          </w:tcPr>
          <w:p w14:paraId="6BEDF2C8" w14:textId="77777777" w:rsidR="001C332B" w:rsidRPr="005F5C5A" w:rsidRDefault="008352E7" w:rsidP="006E6B76">
            <w:pPr>
              <w:jc w:val="center"/>
              <w:rPr>
                <w:sz w:val="20"/>
                <w:szCs w:val="22"/>
              </w:rPr>
            </w:pPr>
            <w:r w:rsidRPr="005F5C5A">
              <w:rPr>
                <w:sz w:val="20"/>
                <w:szCs w:val="22"/>
              </w:rPr>
              <w:t>0.928 (0.5)</w:t>
            </w:r>
          </w:p>
        </w:tc>
      </w:tr>
      <w:tr w:rsidR="001C332B" w14:paraId="35D88BB9" w14:textId="77777777" w:rsidTr="006E6B76">
        <w:trPr>
          <w:trHeight w:val="444"/>
        </w:trPr>
        <w:tc>
          <w:tcPr>
            <w:tcW w:w="1276" w:type="dxa"/>
            <w:vMerge/>
            <w:shd w:val="clear" w:color="auto" w:fill="FFFFFF"/>
          </w:tcPr>
          <w:p w14:paraId="4EF4E7AD" w14:textId="77777777" w:rsidR="001C332B" w:rsidRDefault="001C332B" w:rsidP="006E6B76">
            <w:pPr>
              <w:widowControl w:val="0"/>
              <w:rPr>
                <w:sz w:val="22"/>
                <w:szCs w:val="22"/>
              </w:rPr>
            </w:pPr>
          </w:p>
        </w:tc>
        <w:tc>
          <w:tcPr>
            <w:tcW w:w="1134" w:type="dxa"/>
            <w:shd w:val="clear" w:color="auto" w:fill="E7E6E6"/>
          </w:tcPr>
          <w:p w14:paraId="2468B01D" w14:textId="77777777" w:rsidR="001C332B" w:rsidRDefault="008352E7" w:rsidP="006E6B76">
            <w:pPr>
              <w:rPr>
                <w:b/>
                <w:sz w:val="22"/>
                <w:szCs w:val="22"/>
              </w:rPr>
            </w:pPr>
            <w:proofErr w:type="spellStart"/>
            <w:r>
              <w:rPr>
                <w:b/>
                <w:sz w:val="22"/>
                <w:szCs w:val="22"/>
              </w:rPr>
              <w:t>Phl</w:t>
            </w:r>
            <w:proofErr w:type="spellEnd"/>
            <w:r>
              <w:rPr>
                <w:b/>
                <w:sz w:val="22"/>
                <w:szCs w:val="22"/>
              </w:rPr>
              <w:t xml:space="preserve"> p 2</w:t>
            </w:r>
          </w:p>
        </w:tc>
        <w:tc>
          <w:tcPr>
            <w:tcW w:w="851" w:type="dxa"/>
            <w:shd w:val="clear" w:color="auto" w:fill="FFFFFF"/>
          </w:tcPr>
          <w:p w14:paraId="5F392153" w14:textId="77777777" w:rsidR="001C332B" w:rsidRPr="005F5C5A" w:rsidRDefault="008352E7" w:rsidP="006E6B76">
            <w:pPr>
              <w:jc w:val="center"/>
              <w:rPr>
                <w:sz w:val="20"/>
                <w:szCs w:val="22"/>
              </w:rPr>
            </w:pPr>
            <w:r w:rsidRPr="005F5C5A">
              <w:rPr>
                <w:sz w:val="20"/>
                <w:szCs w:val="22"/>
              </w:rPr>
              <w:t>48.3%</w:t>
            </w:r>
          </w:p>
        </w:tc>
        <w:tc>
          <w:tcPr>
            <w:tcW w:w="992" w:type="dxa"/>
            <w:shd w:val="clear" w:color="auto" w:fill="FFFFFF"/>
          </w:tcPr>
          <w:p w14:paraId="2DC0505C" w14:textId="77777777" w:rsidR="001C332B" w:rsidRPr="005F5C5A" w:rsidRDefault="008352E7" w:rsidP="006E6B76">
            <w:pPr>
              <w:jc w:val="center"/>
              <w:rPr>
                <w:sz w:val="20"/>
                <w:szCs w:val="22"/>
              </w:rPr>
            </w:pPr>
            <w:r w:rsidRPr="005F5C5A">
              <w:rPr>
                <w:sz w:val="20"/>
                <w:szCs w:val="22"/>
              </w:rPr>
              <w:t>3.7%</w:t>
            </w:r>
          </w:p>
        </w:tc>
        <w:tc>
          <w:tcPr>
            <w:tcW w:w="859" w:type="dxa"/>
            <w:shd w:val="clear" w:color="auto" w:fill="E7E6E6"/>
          </w:tcPr>
          <w:p w14:paraId="45D79FC8" w14:textId="77777777" w:rsidR="001C332B" w:rsidRPr="005F5C5A" w:rsidRDefault="001C332B" w:rsidP="006E6B76">
            <w:pPr>
              <w:jc w:val="center"/>
              <w:rPr>
                <w:sz w:val="20"/>
                <w:szCs w:val="22"/>
              </w:rPr>
            </w:pPr>
          </w:p>
        </w:tc>
        <w:tc>
          <w:tcPr>
            <w:tcW w:w="960" w:type="dxa"/>
            <w:shd w:val="clear" w:color="auto" w:fill="E7E6E6"/>
          </w:tcPr>
          <w:p w14:paraId="7C1984A2" w14:textId="77777777" w:rsidR="001C332B" w:rsidRPr="005F5C5A" w:rsidRDefault="001C332B" w:rsidP="006E6B76">
            <w:pPr>
              <w:jc w:val="center"/>
              <w:rPr>
                <w:sz w:val="20"/>
                <w:szCs w:val="22"/>
              </w:rPr>
            </w:pPr>
          </w:p>
        </w:tc>
        <w:tc>
          <w:tcPr>
            <w:tcW w:w="945" w:type="dxa"/>
            <w:shd w:val="clear" w:color="auto" w:fill="E7E6E6"/>
          </w:tcPr>
          <w:p w14:paraId="7A0237E7" w14:textId="77777777" w:rsidR="001C332B" w:rsidRPr="005F5C5A" w:rsidRDefault="001C332B" w:rsidP="006E6B76">
            <w:pPr>
              <w:jc w:val="center"/>
              <w:rPr>
                <w:sz w:val="20"/>
                <w:szCs w:val="22"/>
              </w:rPr>
            </w:pPr>
          </w:p>
        </w:tc>
        <w:tc>
          <w:tcPr>
            <w:tcW w:w="886" w:type="dxa"/>
          </w:tcPr>
          <w:p w14:paraId="42279F44" w14:textId="77777777" w:rsidR="001C332B" w:rsidRPr="005F5C5A" w:rsidRDefault="008352E7" w:rsidP="006E6B76">
            <w:pPr>
              <w:jc w:val="center"/>
              <w:rPr>
                <w:sz w:val="20"/>
                <w:szCs w:val="22"/>
              </w:rPr>
            </w:pPr>
            <w:r w:rsidRPr="005F5C5A">
              <w:rPr>
                <w:sz w:val="20"/>
                <w:szCs w:val="22"/>
              </w:rPr>
              <w:t>37.9%</w:t>
            </w:r>
          </w:p>
        </w:tc>
        <w:tc>
          <w:tcPr>
            <w:tcW w:w="1028" w:type="dxa"/>
          </w:tcPr>
          <w:p w14:paraId="0515C168" w14:textId="77777777" w:rsidR="001C332B" w:rsidRPr="005F5C5A" w:rsidRDefault="008352E7" w:rsidP="006E6B76">
            <w:pPr>
              <w:jc w:val="center"/>
              <w:rPr>
                <w:sz w:val="20"/>
                <w:szCs w:val="22"/>
              </w:rPr>
            </w:pPr>
            <w:r w:rsidRPr="005F5C5A">
              <w:rPr>
                <w:sz w:val="20"/>
                <w:szCs w:val="22"/>
              </w:rPr>
              <w:t>3.7%</w:t>
            </w:r>
          </w:p>
        </w:tc>
        <w:tc>
          <w:tcPr>
            <w:tcW w:w="936" w:type="dxa"/>
          </w:tcPr>
          <w:p w14:paraId="2EA9741F" w14:textId="77777777" w:rsidR="001C332B" w:rsidRPr="005F5C5A" w:rsidRDefault="008352E7" w:rsidP="006E6B76">
            <w:pPr>
              <w:jc w:val="center"/>
              <w:rPr>
                <w:sz w:val="20"/>
                <w:szCs w:val="22"/>
              </w:rPr>
            </w:pPr>
            <w:r w:rsidRPr="005F5C5A">
              <w:rPr>
                <w:sz w:val="20"/>
                <w:szCs w:val="22"/>
              </w:rPr>
              <w:t>0.854 (0.25)</w:t>
            </w:r>
          </w:p>
        </w:tc>
      </w:tr>
      <w:tr w:rsidR="001C332B" w14:paraId="057A340C" w14:textId="77777777" w:rsidTr="006E6B76">
        <w:trPr>
          <w:trHeight w:val="185"/>
        </w:trPr>
        <w:tc>
          <w:tcPr>
            <w:tcW w:w="1276" w:type="dxa"/>
            <w:vMerge/>
            <w:shd w:val="clear" w:color="auto" w:fill="FFFFFF"/>
          </w:tcPr>
          <w:p w14:paraId="4F751677" w14:textId="77777777" w:rsidR="001C332B" w:rsidRDefault="001C332B" w:rsidP="006E6B76">
            <w:pPr>
              <w:widowControl w:val="0"/>
              <w:rPr>
                <w:sz w:val="22"/>
                <w:szCs w:val="22"/>
              </w:rPr>
            </w:pPr>
          </w:p>
        </w:tc>
        <w:tc>
          <w:tcPr>
            <w:tcW w:w="1134" w:type="dxa"/>
            <w:shd w:val="clear" w:color="auto" w:fill="E7E6E6"/>
            <w:vAlign w:val="bottom"/>
          </w:tcPr>
          <w:p w14:paraId="59EBC066" w14:textId="77777777" w:rsidR="001C332B" w:rsidRPr="006E6B76" w:rsidRDefault="001C332B" w:rsidP="006E6B76">
            <w:pPr>
              <w:rPr>
                <w:b/>
                <w:sz w:val="16"/>
                <w:szCs w:val="20"/>
              </w:rPr>
            </w:pPr>
          </w:p>
        </w:tc>
        <w:tc>
          <w:tcPr>
            <w:tcW w:w="1843" w:type="dxa"/>
            <w:gridSpan w:val="2"/>
            <w:shd w:val="clear" w:color="auto" w:fill="E7E6E6"/>
            <w:vAlign w:val="bottom"/>
          </w:tcPr>
          <w:p w14:paraId="4440FBD8" w14:textId="77777777" w:rsidR="001C332B" w:rsidRPr="006E6B76" w:rsidRDefault="008352E7" w:rsidP="006E6B76">
            <w:pPr>
              <w:jc w:val="center"/>
              <w:rPr>
                <w:b/>
                <w:sz w:val="16"/>
                <w:szCs w:val="20"/>
              </w:rPr>
            </w:pPr>
            <w:proofErr w:type="spellStart"/>
            <w:r w:rsidRPr="006E6B76">
              <w:rPr>
                <w:b/>
                <w:sz w:val="16"/>
                <w:szCs w:val="20"/>
              </w:rPr>
              <w:t>Phl</w:t>
            </w:r>
            <w:proofErr w:type="spellEnd"/>
            <w:r w:rsidRPr="006E6B76">
              <w:rPr>
                <w:b/>
                <w:sz w:val="16"/>
                <w:szCs w:val="20"/>
              </w:rPr>
              <w:t xml:space="preserve"> p 5.0101</w:t>
            </w:r>
          </w:p>
        </w:tc>
        <w:tc>
          <w:tcPr>
            <w:tcW w:w="859" w:type="dxa"/>
            <w:shd w:val="clear" w:color="auto" w:fill="E7E6E6"/>
            <w:vAlign w:val="bottom"/>
          </w:tcPr>
          <w:p w14:paraId="0C0A71CD" w14:textId="77777777" w:rsidR="001C332B" w:rsidRPr="006E6B76" w:rsidRDefault="001C332B" w:rsidP="006E6B76">
            <w:pPr>
              <w:jc w:val="center"/>
              <w:rPr>
                <w:sz w:val="16"/>
                <w:szCs w:val="20"/>
              </w:rPr>
            </w:pPr>
          </w:p>
        </w:tc>
        <w:tc>
          <w:tcPr>
            <w:tcW w:w="960" w:type="dxa"/>
            <w:shd w:val="clear" w:color="auto" w:fill="E7E6E6"/>
            <w:vAlign w:val="bottom"/>
          </w:tcPr>
          <w:p w14:paraId="07BC8145" w14:textId="77777777" w:rsidR="001C332B" w:rsidRPr="006E6B76" w:rsidRDefault="001C332B" w:rsidP="006E6B76">
            <w:pPr>
              <w:jc w:val="center"/>
              <w:rPr>
                <w:sz w:val="16"/>
                <w:szCs w:val="20"/>
              </w:rPr>
            </w:pPr>
          </w:p>
        </w:tc>
        <w:tc>
          <w:tcPr>
            <w:tcW w:w="945" w:type="dxa"/>
            <w:shd w:val="clear" w:color="auto" w:fill="E7E6E6"/>
            <w:vAlign w:val="bottom"/>
          </w:tcPr>
          <w:p w14:paraId="65B7E598" w14:textId="77777777" w:rsidR="001C332B" w:rsidRPr="006E6B76" w:rsidRDefault="001C332B" w:rsidP="006E6B76">
            <w:pPr>
              <w:jc w:val="center"/>
              <w:rPr>
                <w:b/>
                <w:sz w:val="16"/>
                <w:szCs w:val="20"/>
              </w:rPr>
            </w:pPr>
          </w:p>
        </w:tc>
        <w:tc>
          <w:tcPr>
            <w:tcW w:w="1914" w:type="dxa"/>
            <w:gridSpan w:val="2"/>
            <w:shd w:val="clear" w:color="auto" w:fill="E7E6E6"/>
            <w:vAlign w:val="bottom"/>
          </w:tcPr>
          <w:p w14:paraId="5AEFD487" w14:textId="77777777" w:rsidR="001C332B" w:rsidRPr="006E6B76" w:rsidRDefault="008352E7" w:rsidP="006E6B76">
            <w:pPr>
              <w:jc w:val="center"/>
              <w:rPr>
                <w:sz w:val="16"/>
                <w:szCs w:val="20"/>
              </w:rPr>
            </w:pPr>
            <w:proofErr w:type="spellStart"/>
            <w:r w:rsidRPr="006E6B76">
              <w:rPr>
                <w:b/>
                <w:sz w:val="16"/>
                <w:szCs w:val="20"/>
              </w:rPr>
              <w:t>Phl</w:t>
            </w:r>
            <w:proofErr w:type="spellEnd"/>
            <w:r w:rsidRPr="006E6B76">
              <w:rPr>
                <w:b/>
                <w:sz w:val="16"/>
                <w:szCs w:val="20"/>
              </w:rPr>
              <w:t xml:space="preserve"> p 5</w:t>
            </w:r>
          </w:p>
        </w:tc>
        <w:tc>
          <w:tcPr>
            <w:tcW w:w="936" w:type="dxa"/>
            <w:shd w:val="clear" w:color="auto" w:fill="E7E6E6"/>
            <w:vAlign w:val="bottom"/>
          </w:tcPr>
          <w:p w14:paraId="3DB936DB" w14:textId="77777777" w:rsidR="001C332B" w:rsidRPr="006E6B76" w:rsidRDefault="001C332B" w:rsidP="006E6B76">
            <w:pPr>
              <w:jc w:val="center"/>
              <w:rPr>
                <w:b/>
                <w:sz w:val="16"/>
                <w:szCs w:val="20"/>
              </w:rPr>
            </w:pPr>
          </w:p>
        </w:tc>
      </w:tr>
      <w:tr w:rsidR="001C332B" w14:paraId="0A03A22D" w14:textId="77777777" w:rsidTr="006E6B76">
        <w:trPr>
          <w:trHeight w:val="113"/>
        </w:trPr>
        <w:tc>
          <w:tcPr>
            <w:tcW w:w="1276" w:type="dxa"/>
            <w:vMerge/>
            <w:shd w:val="clear" w:color="auto" w:fill="FFFFFF"/>
          </w:tcPr>
          <w:p w14:paraId="3C2B6496" w14:textId="77777777" w:rsidR="001C332B" w:rsidRDefault="001C332B" w:rsidP="006E6B76">
            <w:pPr>
              <w:widowControl w:val="0"/>
              <w:rPr>
                <w:b/>
                <w:sz w:val="20"/>
                <w:szCs w:val="20"/>
              </w:rPr>
            </w:pPr>
          </w:p>
        </w:tc>
        <w:tc>
          <w:tcPr>
            <w:tcW w:w="1134" w:type="dxa"/>
            <w:shd w:val="clear" w:color="auto" w:fill="E7E6E6"/>
          </w:tcPr>
          <w:p w14:paraId="67BE991E" w14:textId="77777777" w:rsidR="001C332B" w:rsidRDefault="008352E7" w:rsidP="006E6B76">
            <w:pPr>
              <w:rPr>
                <w:b/>
                <w:sz w:val="22"/>
                <w:szCs w:val="22"/>
              </w:rPr>
            </w:pPr>
            <w:proofErr w:type="spellStart"/>
            <w:r>
              <w:rPr>
                <w:b/>
                <w:sz w:val="22"/>
                <w:szCs w:val="22"/>
              </w:rPr>
              <w:t>Phl</w:t>
            </w:r>
            <w:proofErr w:type="spellEnd"/>
            <w:r>
              <w:rPr>
                <w:b/>
                <w:sz w:val="22"/>
                <w:szCs w:val="22"/>
              </w:rPr>
              <w:t xml:space="preserve"> p 5</w:t>
            </w:r>
          </w:p>
        </w:tc>
        <w:tc>
          <w:tcPr>
            <w:tcW w:w="851" w:type="dxa"/>
            <w:shd w:val="clear" w:color="auto" w:fill="FFFFFF"/>
          </w:tcPr>
          <w:p w14:paraId="160510CF" w14:textId="77777777" w:rsidR="001C332B" w:rsidRPr="005F5C5A" w:rsidRDefault="008352E7" w:rsidP="006E6B76">
            <w:pPr>
              <w:jc w:val="center"/>
              <w:rPr>
                <w:sz w:val="20"/>
                <w:szCs w:val="22"/>
              </w:rPr>
            </w:pPr>
            <w:r w:rsidRPr="005F5C5A">
              <w:rPr>
                <w:sz w:val="20"/>
                <w:szCs w:val="22"/>
              </w:rPr>
              <w:t>37.9%</w:t>
            </w:r>
          </w:p>
        </w:tc>
        <w:tc>
          <w:tcPr>
            <w:tcW w:w="992" w:type="dxa"/>
            <w:shd w:val="clear" w:color="auto" w:fill="FFFFFF"/>
          </w:tcPr>
          <w:p w14:paraId="5B6280CE" w14:textId="77777777" w:rsidR="001C332B" w:rsidRPr="005F5C5A" w:rsidRDefault="008352E7" w:rsidP="006E6B76">
            <w:pPr>
              <w:jc w:val="center"/>
              <w:rPr>
                <w:sz w:val="20"/>
                <w:szCs w:val="22"/>
              </w:rPr>
            </w:pPr>
            <w:r w:rsidRPr="005F5C5A">
              <w:rPr>
                <w:sz w:val="20"/>
                <w:szCs w:val="22"/>
              </w:rPr>
              <w:t>3.7%</w:t>
            </w:r>
          </w:p>
        </w:tc>
        <w:tc>
          <w:tcPr>
            <w:tcW w:w="859" w:type="dxa"/>
            <w:shd w:val="clear" w:color="auto" w:fill="E7E6E6"/>
          </w:tcPr>
          <w:p w14:paraId="6CF45419" w14:textId="77777777" w:rsidR="001C332B" w:rsidRPr="005F5C5A" w:rsidRDefault="001C332B" w:rsidP="006E6B76">
            <w:pPr>
              <w:jc w:val="center"/>
              <w:rPr>
                <w:sz w:val="20"/>
                <w:szCs w:val="22"/>
              </w:rPr>
            </w:pPr>
          </w:p>
        </w:tc>
        <w:tc>
          <w:tcPr>
            <w:tcW w:w="960" w:type="dxa"/>
            <w:shd w:val="clear" w:color="auto" w:fill="E7E6E6"/>
          </w:tcPr>
          <w:p w14:paraId="744B272F" w14:textId="77777777" w:rsidR="001C332B" w:rsidRPr="005F5C5A" w:rsidRDefault="001C332B" w:rsidP="006E6B76">
            <w:pPr>
              <w:jc w:val="center"/>
              <w:rPr>
                <w:sz w:val="20"/>
                <w:szCs w:val="22"/>
              </w:rPr>
            </w:pPr>
          </w:p>
        </w:tc>
        <w:tc>
          <w:tcPr>
            <w:tcW w:w="945" w:type="dxa"/>
            <w:shd w:val="clear" w:color="auto" w:fill="E7E6E6"/>
          </w:tcPr>
          <w:p w14:paraId="022B29B1" w14:textId="77777777" w:rsidR="001C332B" w:rsidRPr="005F5C5A" w:rsidRDefault="001C332B" w:rsidP="006E6B76">
            <w:pPr>
              <w:jc w:val="center"/>
              <w:rPr>
                <w:sz w:val="20"/>
                <w:szCs w:val="22"/>
              </w:rPr>
            </w:pPr>
          </w:p>
        </w:tc>
        <w:tc>
          <w:tcPr>
            <w:tcW w:w="886" w:type="dxa"/>
            <w:shd w:val="clear" w:color="auto" w:fill="FFFFFF"/>
          </w:tcPr>
          <w:p w14:paraId="4CEB2944" w14:textId="77777777" w:rsidR="001C332B" w:rsidRPr="005F5C5A" w:rsidRDefault="008352E7" w:rsidP="006E6B76">
            <w:pPr>
              <w:jc w:val="center"/>
              <w:rPr>
                <w:sz w:val="20"/>
                <w:szCs w:val="22"/>
              </w:rPr>
            </w:pPr>
            <w:r w:rsidRPr="005F5C5A">
              <w:rPr>
                <w:sz w:val="20"/>
                <w:szCs w:val="22"/>
              </w:rPr>
              <w:t>34.5%</w:t>
            </w:r>
          </w:p>
        </w:tc>
        <w:tc>
          <w:tcPr>
            <w:tcW w:w="1028" w:type="dxa"/>
            <w:shd w:val="clear" w:color="auto" w:fill="FFFFFF"/>
          </w:tcPr>
          <w:p w14:paraId="749AF7DC" w14:textId="77777777" w:rsidR="001C332B" w:rsidRPr="005F5C5A" w:rsidRDefault="008352E7" w:rsidP="006E6B76">
            <w:pPr>
              <w:jc w:val="center"/>
              <w:rPr>
                <w:sz w:val="20"/>
                <w:szCs w:val="22"/>
              </w:rPr>
            </w:pPr>
            <w:r w:rsidRPr="005F5C5A">
              <w:rPr>
                <w:sz w:val="20"/>
                <w:szCs w:val="22"/>
              </w:rPr>
              <w:t>3.7%</w:t>
            </w:r>
          </w:p>
        </w:tc>
        <w:tc>
          <w:tcPr>
            <w:tcW w:w="936" w:type="dxa"/>
            <w:shd w:val="clear" w:color="auto" w:fill="FFFFFF"/>
          </w:tcPr>
          <w:p w14:paraId="7823A1D0" w14:textId="77777777" w:rsidR="001C332B" w:rsidRPr="005F5C5A" w:rsidRDefault="008352E7" w:rsidP="006E6B76">
            <w:pPr>
              <w:jc w:val="center"/>
              <w:rPr>
                <w:sz w:val="20"/>
                <w:szCs w:val="22"/>
              </w:rPr>
            </w:pPr>
            <w:r w:rsidRPr="005F5C5A">
              <w:rPr>
                <w:sz w:val="20"/>
                <w:szCs w:val="22"/>
              </w:rPr>
              <w:t>0.945 (1)</w:t>
            </w:r>
          </w:p>
        </w:tc>
      </w:tr>
      <w:tr w:rsidR="001C332B" w14:paraId="38DBE7B5" w14:textId="77777777" w:rsidTr="006E6B76">
        <w:trPr>
          <w:trHeight w:val="113"/>
        </w:trPr>
        <w:tc>
          <w:tcPr>
            <w:tcW w:w="1276" w:type="dxa"/>
            <w:vMerge/>
            <w:shd w:val="clear" w:color="auto" w:fill="FFFFFF"/>
          </w:tcPr>
          <w:p w14:paraId="48714455" w14:textId="77777777" w:rsidR="001C332B" w:rsidRDefault="001C332B" w:rsidP="006E6B76">
            <w:pPr>
              <w:widowControl w:val="0"/>
              <w:rPr>
                <w:sz w:val="22"/>
                <w:szCs w:val="22"/>
              </w:rPr>
            </w:pPr>
          </w:p>
        </w:tc>
        <w:tc>
          <w:tcPr>
            <w:tcW w:w="1134" w:type="dxa"/>
            <w:shd w:val="clear" w:color="auto" w:fill="E7E6E6"/>
          </w:tcPr>
          <w:p w14:paraId="3C573C42" w14:textId="77777777" w:rsidR="001C332B" w:rsidRDefault="008352E7" w:rsidP="006E6B76">
            <w:pPr>
              <w:rPr>
                <w:b/>
                <w:sz w:val="22"/>
                <w:szCs w:val="22"/>
              </w:rPr>
            </w:pPr>
            <w:proofErr w:type="spellStart"/>
            <w:r>
              <w:rPr>
                <w:b/>
                <w:sz w:val="22"/>
                <w:szCs w:val="22"/>
              </w:rPr>
              <w:t>Phl</w:t>
            </w:r>
            <w:proofErr w:type="spellEnd"/>
            <w:r>
              <w:rPr>
                <w:b/>
                <w:sz w:val="22"/>
                <w:szCs w:val="22"/>
              </w:rPr>
              <w:t xml:space="preserve"> p 6</w:t>
            </w:r>
          </w:p>
        </w:tc>
        <w:tc>
          <w:tcPr>
            <w:tcW w:w="851" w:type="dxa"/>
            <w:shd w:val="clear" w:color="auto" w:fill="FFFFFF"/>
          </w:tcPr>
          <w:p w14:paraId="79AF7F79" w14:textId="77777777" w:rsidR="001C332B" w:rsidRPr="005F5C5A" w:rsidRDefault="008352E7" w:rsidP="006E6B76">
            <w:pPr>
              <w:jc w:val="center"/>
              <w:rPr>
                <w:sz w:val="20"/>
                <w:szCs w:val="22"/>
              </w:rPr>
            </w:pPr>
            <w:r w:rsidRPr="005F5C5A">
              <w:rPr>
                <w:sz w:val="20"/>
                <w:szCs w:val="22"/>
              </w:rPr>
              <w:t>34.5%</w:t>
            </w:r>
          </w:p>
        </w:tc>
        <w:tc>
          <w:tcPr>
            <w:tcW w:w="992" w:type="dxa"/>
            <w:shd w:val="clear" w:color="auto" w:fill="FFFFFF"/>
          </w:tcPr>
          <w:p w14:paraId="5CBA3A71" w14:textId="77777777" w:rsidR="001C332B" w:rsidRPr="005F5C5A" w:rsidRDefault="008352E7" w:rsidP="006E6B76">
            <w:pPr>
              <w:jc w:val="center"/>
              <w:rPr>
                <w:sz w:val="20"/>
                <w:szCs w:val="22"/>
              </w:rPr>
            </w:pPr>
            <w:r w:rsidRPr="005F5C5A">
              <w:rPr>
                <w:sz w:val="20"/>
                <w:szCs w:val="22"/>
              </w:rPr>
              <w:t>3.7%</w:t>
            </w:r>
          </w:p>
        </w:tc>
        <w:tc>
          <w:tcPr>
            <w:tcW w:w="859" w:type="dxa"/>
            <w:shd w:val="clear" w:color="auto" w:fill="E7E6E6"/>
          </w:tcPr>
          <w:p w14:paraId="6F60FA0F" w14:textId="77777777" w:rsidR="001C332B" w:rsidRPr="005F5C5A" w:rsidRDefault="001C332B" w:rsidP="006E6B76">
            <w:pPr>
              <w:jc w:val="center"/>
              <w:rPr>
                <w:sz w:val="20"/>
                <w:szCs w:val="22"/>
              </w:rPr>
            </w:pPr>
          </w:p>
        </w:tc>
        <w:tc>
          <w:tcPr>
            <w:tcW w:w="960" w:type="dxa"/>
            <w:shd w:val="clear" w:color="auto" w:fill="E7E6E6"/>
          </w:tcPr>
          <w:p w14:paraId="7665F8B3" w14:textId="77777777" w:rsidR="001C332B" w:rsidRPr="005F5C5A" w:rsidRDefault="001C332B" w:rsidP="006E6B76">
            <w:pPr>
              <w:jc w:val="center"/>
              <w:rPr>
                <w:sz w:val="20"/>
                <w:szCs w:val="22"/>
              </w:rPr>
            </w:pPr>
          </w:p>
        </w:tc>
        <w:tc>
          <w:tcPr>
            <w:tcW w:w="945" w:type="dxa"/>
            <w:shd w:val="clear" w:color="auto" w:fill="E7E6E6"/>
          </w:tcPr>
          <w:p w14:paraId="4102D08E" w14:textId="77777777" w:rsidR="001C332B" w:rsidRPr="005F5C5A" w:rsidRDefault="001C332B" w:rsidP="006E6B76">
            <w:pPr>
              <w:jc w:val="center"/>
              <w:rPr>
                <w:sz w:val="20"/>
                <w:szCs w:val="22"/>
              </w:rPr>
            </w:pPr>
          </w:p>
        </w:tc>
        <w:tc>
          <w:tcPr>
            <w:tcW w:w="886" w:type="dxa"/>
            <w:shd w:val="clear" w:color="auto" w:fill="FFFFFF"/>
          </w:tcPr>
          <w:p w14:paraId="2407B639" w14:textId="77777777" w:rsidR="001C332B" w:rsidRPr="005F5C5A" w:rsidRDefault="008352E7" w:rsidP="006E6B76">
            <w:pPr>
              <w:jc w:val="center"/>
              <w:rPr>
                <w:sz w:val="20"/>
                <w:szCs w:val="22"/>
              </w:rPr>
            </w:pPr>
            <w:r w:rsidRPr="005F5C5A">
              <w:rPr>
                <w:sz w:val="20"/>
                <w:szCs w:val="22"/>
              </w:rPr>
              <w:t>24.1%</w:t>
            </w:r>
          </w:p>
        </w:tc>
        <w:tc>
          <w:tcPr>
            <w:tcW w:w="1028" w:type="dxa"/>
            <w:shd w:val="clear" w:color="auto" w:fill="FFFFFF"/>
          </w:tcPr>
          <w:p w14:paraId="56E66BFE" w14:textId="77777777" w:rsidR="001C332B" w:rsidRPr="005F5C5A" w:rsidRDefault="008352E7" w:rsidP="006E6B76">
            <w:pPr>
              <w:jc w:val="center"/>
              <w:rPr>
                <w:sz w:val="20"/>
                <w:szCs w:val="22"/>
              </w:rPr>
            </w:pPr>
            <w:r w:rsidRPr="005F5C5A">
              <w:rPr>
                <w:sz w:val="20"/>
                <w:szCs w:val="22"/>
              </w:rPr>
              <w:t>3.7%</w:t>
            </w:r>
          </w:p>
        </w:tc>
        <w:tc>
          <w:tcPr>
            <w:tcW w:w="936" w:type="dxa"/>
            <w:shd w:val="clear" w:color="auto" w:fill="FFFFFF"/>
          </w:tcPr>
          <w:p w14:paraId="60C9CD75" w14:textId="77777777" w:rsidR="001C332B" w:rsidRPr="005F5C5A" w:rsidRDefault="008352E7" w:rsidP="006E6B76">
            <w:pPr>
              <w:jc w:val="center"/>
              <w:rPr>
                <w:sz w:val="20"/>
                <w:szCs w:val="22"/>
              </w:rPr>
            </w:pPr>
            <w:r w:rsidRPr="005F5C5A">
              <w:rPr>
                <w:sz w:val="20"/>
                <w:szCs w:val="22"/>
              </w:rPr>
              <w:t>0.811 (0.25)</w:t>
            </w:r>
          </w:p>
        </w:tc>
      </w:tr>
      <w:tr w:rsidR="001C332B" w14:paraId="3C44B0B7" w14:textId="77777777" w:rsidTr="006E6B76">
        <w:trPr>
          <w:trHeight w:val="113"/>
        </w:trPr>
        <w:tc>
          <w:tcPr>
            <w:tcW w:w="1276" w:type="dxa"/>
            <w:vMerge/>
            <w:shd w:val="clear" w:color="auto" w:fill="FFFFFF"/>
          </w:tcPr>
          <w:p w14:paraId="6754DB4D" w14:textId="77777777" w:rsidR="001C332B" w:rsidRDefault="001C332B" w:rsidP="006E6B76">
            <w:pPr>
              <w:widowControl w:val="0"/>
              <w:rPr>
                <w:sz w:val="22"/>
                <w:szCs w:val="22"/>
              </w:rPr>
            </w:pPr>
          </w:p>
        </w:tc>
        <w:tc>
          <w:tcPr>
            <w:tcW w:w="1134" w:type="dxa"/>
            <w:shd w:val="clear" w:color="auto" w:fill="E7E6E6"/>
          </w:tcPr>
          <w:p w14:paraId="3D6DFCED" w14:textId="77777777" w:rsidR="001C332B" w:rsidRDefault="008352E7" w:rsidP="006E6B76">
            <w:pPr>
              <w:rPr>
                <w:b/>
                <w:sz w:val="22"/>
                <w:szCs w:val="22"/>
              </w:rPr>
            </w:pPr>
            <w:proofErr w:type="spellStart"/>
            <w:r>
              <w:rPr>
                <w:b/>
                <w:sz w:val="22"/>
                <w:szCs w:val="22"/>
              </w:rPr>
              <w:t>Phl</w:t>
            </w:r>
            <w:proofErr w:type="spellEnd"/>
            <w:r>
              <w:rPr>
                <w:b/>
                <w:sz w:val="22"/>
                <w:szCs w:val="22"/>
              </w:rPr>
              <w:t xml:space="preserve"> p 7</w:t>
            </w:r>
          </w:p>
        </w:tc>
        <w:tc>
          <w:tcPr>
            <w:tcW w:w="851" w:type="dxa"/>
            <w:shd w:val="clear" w:color="auto" w:fill="FFFFFF"/>
          </w:tcPr>
          <w:p w14:paraId="3F8CF5C7" w14:textId="77777777" w:rsidR="001C332B" w:rsidRPr="005F5C5A" w:rsidRDefault="008352E7" w:rsidP="006E6B76">
            <w:pPr>
              <w:jc w:val="center"/>
              <w:rPr>
                <w:sz w:val="20"/>
                <w:szCs w:val="22"/>
              </w:rPr>
            </w:pPr>
            <w:r w:rsidRPr="005F5C5A">
              <w:rPr>
                <w:sz w:val="20"/>
                <w:szCs w:val="22"/>
              </w:rPr>
              <w:t>6.9%</w:t>
            </w:r>
          </w:p>
        </w:tc>
        <w:tc>
          <w:tcPr>
            <w:tcW w:w="992" w:type="dxa"/>
            <w:shd w:val="clear" w:color="auto" w:fill="FFFFFF"/>
          </w:tcPr>
          <w:p w14:paraId="1DBD996E" w14:textId="77777777" w:rsidR="001C332B" w:rsidRPr="005F5C5A" w:rsidRDefault="008352E7" w:rsidP="006E6B76">
            <w:pPr>
              <w:jc w:val="center"/>
              <w:rPr>
                <w:sz w:val="20"/>
                <w:szCs w:val="22"/>
              </w:rPr>
            </w:pPr>
            <w:r w:rsidRPr="005F5C5A">
              <w:rPr>
                <w:sz w:val="20"/>
                <w:szCs w:val="22"/>
              </w:rPr>
              <w:t>3.7%</w:t>
            </w:r>
          </w:p>
        </w:tc>
        <w:tc>
          <w:tcPr>
            <w:tcW w:w="859" w:type="dxa"/>
            <w:shd w:val="clear" w:color="auto" w:fill="E7E6E6"/>
          </w:tcPr>
          <w:p w14:paraId="0DB3C50A" w14:textId="77777777" w:rsidR="001C332B" w:rsidRPr="005F5C5A" w:rsidRDefault="001C332B" w:rsidP="006E6B76">
            <w:pPr>
              <w:jc w:val="center"/>
              <w:rPr>
                <w:sz w:val="20"/>
                <w:szCs w:val="22"/>
              </w:rPr>
            </w:pPr>
          </w:p>
        </w:tc>
        <w:tc>
          <w:tcPr>
            <w:tcW w:w="960" w:type="dxa"/>
            <w:shd w:val="clear" w:color="auto" w:fill="E7E6E6"/>
          </w:tcPr>
          <w:p w14:paraId="449ACD53" w14:textId="77777777" w:rsidR="001C332B" w:rsidRPr="005F5C5A" w:rsidRDefault="001C332B" w:rsidP="006E6B76">
            <w:pPr>
              <w:jc w:val="center"/>
              <w:rPr>
                <w:sz w:val="20"/>
                <w:szCs w:val="22"/>
              </w:rPr>
            </w:pPr>
          </w:p>
        </w:tc>
        <w:tc>
          <w:tcPr>
            <w:tcW w:w="945" w:type="dxa"/>
            <w:shd w:val="clear" w:color="auto" w:fill="E7E6E6"/>
          </w:tcPr>
          <w:p w14:paraId="01C3C7F1" w14:textId="77777777" w:rsidR="001C332B" w:rsidRPr="005F5C5A" w:rsidRDefault="001C332B" w:rsidP="006E6B76">
            <w:pPr>
              <w:jc w:val="center"/>
              <w:rPr>
                <w:sz w:val="20"/>
                <w:szCs w:val="22"/>
              </w:rPr>
            </w:pPr>
          </w:p>
        </w:tc>
        <w:tc>
          <w:tcPr>
            <w:tcW w:w="886" w:type="dxa"/>
            <w:shd w:val="clear" w:color="auto" w:fill="FFFFFF"/>
          </w:tcPr>
          <w:p w14:paraId="4EDA1369" w14:textId="77777777" w:rsidR="001C332B" w:rsidRPr="005F5C5A" w:rsidRDefault="008352E7" w:rsidP="006E6B76">
            <w:pPr>
              <w:jc w:val="center"/>
              <w:rPr>
                <w:sz w:val="20"/>
                <w:szCs w:val="22"/>
              </w:rPr>
            </w:pPr>
            <w:r w:rsidRPr="005F5C5A">
              <w:rPr>
                <w:sz w:val="20"/>
                <w:szCs w:val="22"/>
              </w:rPr>
              <w:t>3.4%</w:t>
            </w:r>
          </w:p>
        </w:tc>
        <w:tc>
          <w:tcPr>
            <w:tcW w:w="1028" w:type="dxa"/>
            <w:shd w:val="clear" w:color="auto" w:fill="FFFFFF"/>
          </w:tcPr>
          <w:p w14:paraId="1F277918" w14:textId="77777777" w:rsidR="001C332B" w:rsidRPr="005F5C5A" w:rsidRDefault="008352E7" w:rsidP="006E6B76">
            <w:pPr>
              <w:jc w:val="center"/>
              <w:rPr>
                <w:sz w:val="20"/>
                <w:szCs w:val="22"/>
              </w:rPr>
            </w:pPr>
            <w:r w:rsidRPr="005F5C5A">
              <w:rPr>
                <w:sz w:val="20"/>
                <w:szCs w:val="22"/>
              </w:rPr>
              <w:t>3.7%</w:t>
            </w:r>
          </w:p>
        </w:tc>
        <w:tc>
          <w:tcPr>
            <w:tcW w:w="936" w:type="dxa"/>
            <w:shd w:val="clear" w:color="auto" w:fill="FFFFFF"/>
          </w:tcPr>
          <w:p w14:paraId="485D3EF2" w14:textId="77777777" w:rsidR="001C332B" w:rsidRPr="005F5C5A" w:rsidRDefault="008352E7" w:rsidP="006E6B76">
            <w:pPr>
              <w:jc w:val="center"/>
              <w:rPr>
                <w:sz w:val="20"/>
                <w:szCs w:val="22"/>
              </w:rPr>
            </w:pPr>
            <w:r w:rsidRPr="005F5C5A">
              <w:rPr>
                <w:sz w:val="20"/>
                <w:szCs w:val="22"/>
              </w:rPr>
              <w:t>0.811 (1)</w:t>
            </w:r>
          </w:p>
        </w:tc>
      </w:tr>
      <w:tr w:rsidR="001C332B" w14:paraId="18C449B6" w14:textId="77777777" w:rsidTr="006E6B76">
        <w:trPr>
          <w:trHeight w:val="113"/>
        </w:trPr>
        <w:tc>
          <w:tcPr>
            <w:tcW w:w="1276" w:type="dxa"/>
            <w:vMerge/>
            <w:shd w:val="clear" w:color="auto" w:fill="FFFFFF"/>
          </w:tcPr>
          <w:p w14:paraId="323C3E6A" w14:textId="77777777" w:rsidR="001C332B" w:rsidRDefault="001C332B" w:rsidP="006E6B76">
            <w:pPr>
              <w:widowControl w:val="0"/>
              <w:rPr>
                <w:sz w:val="22"/>
                <w:szCs w:val="22"/>
              </w:rPr>
            </w:pPr>
          </w:p>
        </w:tc>
        <w:tc>
          <w:tcPr>
            <w:tcW w:w="1134" w:type="dxa"/>
            <w:shd w:val="clear" w:color="auto" w:fill="E7E6E6"/>
          </w:tcPr>
          <w:p w14:paraId="4C332B7E" w14:textId="77777777" w:rsidR="001C332B" w:rsidRDefault="008352E7" w:rsidP="006E6B76">
            <w:pPr>
              <w:rPr>
                <w:b/>
                <w:sz w:val="22"/>
                <w:szCs w:val="22"/>
              </w:rPr>
            </w:pPr>
            <w:proofErr w:type="spellStart"/>
            <w:r>
              <w:rPr>
                <w:b/>
                <w:sz w:val="22"/>
                <w:szCs w:val="22"/>
              </w:rPr>
              <w:t>Phl</w:t>
            </w:r>
            <w:proofErr w:type="spellEnd"/>
            <w:r>
              <w:rPr>
                <w:b/>
                <w:sz w:val="22"/>
                <w:szCs w:val="22"/>
              </w:rPr>
              <w:t xml:space="preserve"> p 12</w:t>
            </w:r>
          </w:p>
        </w:tc>
        <w:tc>
          <w:tcPr>
            <w:tcW w:w="851" w:type="dxa"/>
            <w:shd w:val="clear" w:color="auto" w:fill="FFFFFF"/>
          </w:tcPr>
          <w:p w14:paraId="62186972" w14:textId="77777777" w:rsidR="001C332B" w:rsidRPr="005F5C5A" w:rsidRDefault="008352E7" w:rsidP="006E6B76">
            <w:pPr>
              <w:jc w:val="center"/>
              <w:rPr>
                <w:sz w:val="20"/>
                <w:szCs w:val="22"/>
              </w:rPr>
            </w:pPr>
            <w:r w:rsidRPr="005F5C5A">
              <w:rPr>
                <w:sz w:val="20"/>
                <w:szCs w:val="22"/>
              </w:rPr>
              <w:t>17.2%</w:t>
            </w:r>
          </w:p>
        </w:tc>
        <w:tc>
          <w:tcPr>
            <w:tcW w:w="992" w:type="dxa"/>
            <w:shd w:val="clear" w:color="auto" w:fill="FFFFFF"/>
          </w:tcPr>
          <w:p w14:paraId="5D923119" w14:textId="77777777" w:rsidR="001C332B" w:rsidRPr="005F5C5A" w:rsidRDefault="008352E7" w:rsidP="006E6B76">
            <w:pPr>
              <w:jc w:val="center"/>
              <w:rPr>
                <w:sz w:val="20"/>
                <w:szCs w:val="22"/>
              </w:rPr>
            </w:pPr>
            <w:r w:rsidRPr="005F5C5A">
              <w:rPr>
                <w:sz w:val="20"/>
                <w:szCs w:val="22"/>
              </w:rPr>
              <w:t>0%</w:t>
            </w:r>
          </w:p>
        </w:tc>
        <w:tc>
          <w:tcPr>
            <w:tcW w:w="859" w:type="dxa"/>
            <w:shd w:val="clear" w:color="auto" w:fill="E7E6E6"/>
          </w:tcPr>
          <w:p w14:paraId="4C72817F" w14:textId="77777777" w:rsidR="001C332B" w:rsidRPr="005F5C5A" w:rsidRDefault="001C332B" w:rsidP="006E6B76">
            <w:pPr>
              <w:jc w:val="center"/>
              <w:rPr>
                <w:sz w:val="20"/>
                <w:szCs w:val="22"/>
              </w:rPr>
            </w:pPr>
          </w:p>
        </w:tc>
        <w:tc>
          <w:tcPr>
            <w:tcW w:w="960" w:type="dxa"/>
            <w:shd w:val="clear" w:color="auto" w:fill="E7E6E6"/>
          </w:tcPr>
          <w:p w14:paraId="5FDEB0D0" w14:textId="77777777" w:rsidR="001C332B" w:rsidRPr="005F5C5A" w:rsidRDefault="001C332B" w:rsidP="006E6B76">
            <w:pPr>
              <w:jc w:val="center"/>
              <w:rPr>
                <w:sz w:val="20"/>
                <w:szCs w:val="22"/>
              </w:rPr>
            </w:pPr>
          </w:p>
        </w:tc>
        <w:tc>
          <w:tcPr>
            <w:tcW w:w="945" w:type="dxa"/>
            <w:shd w:val="clear" w:color="auto" w:fill="E7E6E6"/>
          </w:tcPr>
          <w:p w14:paraId="7D3206EE" w14:textId="77777777" w:rsidR="001C332B" w:rsidRPr="005F5C5A" w:rsidRDefault="001C332B" w:rsidP="006E6B76">
            <w:pPr>
              <w:jc w:val="center"/>
              <w:rPr>
                <w:sz w:val="20"/>
                <w:szCs w:val="22"/>
              </w:rPr>
            </w:pPr>
          </w:p>
        </w:tc>
        <w:tc>
          <w:tcPr>
            <w:tcW w:w="886" w:type="dxa"/>
            <w:shd w:val="clear" w:color="auto" w:fill="FFFFFF"/>
          </w:tcPr>
          <w:p w14:paraId="0340E3D5" w14:textId="77777777" w:rsidR="001C332B" w:rsidRPr="005F5C5A" w:rsidRDefault="008352E7" w:rsidP="006E6B76">
            <w:pPr>
              <w:jc w:val="center"/>
              <w:rPr>
                <w:sz w:val="20"/>
                <w:szCs w:val="22"/>
              </w:rPr>
            </w:pPr>
            <w:r w:rsidRPr="005F5C5A">
              <w:rPr>
                <w:sz w:val="20"/>
                <w:szCs w:val="22"/>
              </w:rPr>
              <w:t>13.8%</w:t>
            </w:r>
          </w:p>
        </w:tc>
        <w:tc>
          <w:tcPr>
            <w:tcW w:w="1028" w:type="dxa"/>
            <w:shd w:val="clear" w:color="auto" w:fill="FFFFFF"/>
          </w:tcPr>
          <w:p w14:paraId="6B711028" w14:textId="77777777" w:rsidR="001C332B" w:rsidRPr="005F5C5A" w:rsidRDefault="008352E7" w:rsidP="006E6B76">
            <w:pPr>
              <w:jc w:val="center"/>
              <w:rPr>
                <w:sz w:val="20"/>
                <w:szCs w:val="22"/>
              </w:rPr>
            </w:pPr>
            <w:r w:rsidRPr="005F5C5A">
              <w:rPr>
                <w:sz w:val="20"/>
                <w:szCs w:val="22"/>
              </w:rPr>
              <w:t>3.7%</w:t>
            </w:r>
          </w:p>
        </w:tc>
        <w:tc>
          <w:tcPr>
            <w:tcW w:w="936" w:type="dxa"/>
            <w:shd w:val="clear" w:color="auto" w:fill="FFFFFF"/>
          </w:tcPr>
          <w:p w14:paraId="6B85CE0F" w14:textId="77777777" w:rsidR="001C332B" w:rsidRPr="005F5C5A" w:rsidRDefault="008352E7" w:rsidP="006E6B76">
            <w:pPr>
              <w:jc w:val="center"/>
              <w:rPr>
                <w:sz w:val="20"/>
                <w:szCs w:val="22"/>
              </w:rPr>
            </w:pPr>
            <w:r w:rsidRPr="005F5C5A">
              <w:rPr>
                <w:sz w:val="20"/>
                <w:szCs w:val="22"/>
              </w:rPr>
              <w:t>0.780</w:t>
            </w:r>
          </w:p>
          <w:p w14:paraId="073F0C37" w14:textId="77777777" w:rsidR="001C332B" w:rsidRPr="005F5C5A" w:rsidRDefault="008352E7" w:rsidP="006E6B76">
            <w:pPr>
              <w:jc w:val="center"/>
              <w:rPr>
                <w:sz w:val="20"/>
                <w:szCs w:val="22"/>
              </w:rPr>
            </w:pPr>
            <w:r w:rsidRPr="005F5C5A">
              <w:rPr>
                <w:sz w:val="20"/>
                <w:szCs w:val="22"/>
              </w:rPr>
              <w:t>(1)</w:t>
            </w:r>
          </w:p>
        </w:tc>
      </w:tr>
      <w:tr w:rsidR="001C332B" w14:paraId="4B26D2DA" w14:textId="77777777" w:rsidTr="006E6B76">
        <w:trPr>
          <w:trHeight w:val="113"/>
        </w:trPr>
        <w:tc>
          <w:tcPr>
            <w:tcW w:w="1276" w:type="dxa"/>
            <w:vMerge w:val="restart"/>
            <w:shd w:val="clear" w:color="auto" w:fill="FFFFFF"/>
          </w:tcPr>
          <w:p w14:paraId="3D4C99A4" w14:textId="77777777" w:rsidR="001C332B" w:rsidRDefault="008352E7" w:rsidP="006E6B76">
            <w:pPr>
              <w:rPr>
                <w:b/>
                <w:sz w:val="18"/>
                <w:szCs w:val="18"/>
              </w:rPr>
            </w:pPr>
            <w:r>
              <w:rPr>
                <w:b/>
                <w:sz w:val="18"/>
                <w:szCs w:val="18"/>
              </w:rPr>
              <w:t>Olive pollen</w:t>
            </w:r>
          </w:p>
        </w:tc>
        <w:tc>
          <w:tcPr>
            <w:tcW w:w="1134" w:type="dxa"/>
            <w:shd w:val="clear" w:color="auto" w:fill="E7E6E6"/>
          </w:tcPr>
          <w:p w14:paraId="3EAF1034" w14:textId="77777777" w:rsidR="001C332B" w:rsidRDefault="008352E7" w:rsidP="006E6B76">
            <w:pPr>
              <w:rPr>
                <w:b/>
                <w:sz w:val="22"/>
                <w:szCs w:val="22"/>
              </w:rPr>
            </w:pPr>
            <w:r>
              <w:rPr>
                <w:b/>
                <w:sz w:val="22"/>
                <w:szCs w:val="22"/>
              </w:rPr>
              <w:t>Ole e 1</w:t>
            </w:r>
          </w:p>
        </w:tc>
        <w:tc>
          <w:tcPr>
            <w:tcW w:w="851" w:type="dxa"/>
            <w:shd w:val="clear" w:color="auto" w:fill="FFFFFF"/>
          </w:tcPr>
          <w:p w14:paraId="5D0D7CBF" w14:textId="77777777" w:rsidR="001C332B" w:rsidRPr="005F5C5A" w:rsidRDefault="008352E7" w:rsidP="006E6B76">
            <w:pPr>
              <w:jc w:val="center"/>
              <w:rPr>
                <w:sz w:val="20"/>
                <w:szCs w:val="22"/>
              </w:rPr>
            </w:pPr>
            <w:r w:rsidRPr="005F5C5A">
              <w:rPr>
                <w:sz w:val="20"/>
                <w:szCs w:val="22"/>
              </w:rPr>
              <w:t>55.6%</w:t>
            </w:r>
          </w:p>
        </w:tc>
        <w:tc>
          <w:tcPr>
            <w:tcW w:w="992" w:type="dxa"/>
            <w:shd w:val="clear" w:color="auto" w:fill="FFFFFF"/>
          </w:tcPr>
          <w:p w14:paraId="69778DC4" w14:textId="77777777" w:rsidR="001C332B" w:rsidRPr="005F5C5A" w:rsidRDefault="008352E7" w:rsidP="006E6B76">
            <w:pPr>
              <w:jc w:val="center"/>
              <w:rPr>
                <w:sz w:val="20"/>
                <w:szCs w:val="22"/>
              </w:rPr>
            </w:pPr>
            <w:r w:rsidRPr="005F5C5A">
              <w:rPr>
                <w:sz w:val="20"/>
                <w:szCs w:val="22"/>
              </w:rPr>
              <w:t>3.2%</w:t>
            </w:r>
          </w:p>
        </w:tc>
        <w:tc>
          <w:tcPr>
            <w:tcW w:w="859" w:type="dxa"/>
            <w:shd w:val="clear" w:color="auto" w:fill="FFFFFF"/>
          </w:tcPr>
          <w:p w14:paraId="2A868500" w14:textId="77777777" w:rsidR="001C332B" w:rsidRPr="005F5C5A" w:rsidRDefault="008352E7" w:rsidP="006E6B76">
            <w:pPr>
              <w:jc w:val="center"/>
              <w:rPr>
                <w:sz w:val="20"/>
                <w:szCs w:val="22"/>
              </w:rPr>
            </w:pPr>
            <w:r w:rsidRPr="005F5C5A">
              <w:rPr>
                <w:sz w:val="20"/>
                <w:szCs w:val="22"/>
              </w:rPr>
              <w:t>66.7%</w:t>
            </w:r>
          </w:p>
        </w:tc>
        <w:tc>
          <w:tcPr>
            <w:tcW w:w="960" w:type="dxa"/>
            <w:shd w:val="clear" w:color="auto" w:fill="FFFFFF"/>
          </w:tcPr>
          <w:p w14:paraId="05A920F4" w14:textId="77777777" w:rsidR="001C332B" w:rsidRPr="005F5C5A" w:rsidRDefault="008352E7" w:rsidP="006E6B76">
            <w:pPr>
              <w:jc w:val="center"/>
              <w:rPr>
                <w:sz w:val="20"/>
                <w:szCs w:val="22"/>
              </w:rPr>
            </w:pPr>
            <w:r w:rsidRPr="005F5C5A">
              <w:rPr>
                <w:sz w:val="20"/>
                <w:szCs w:val="22"/>
              </w:rPr>
              <w:t>6.5%</w:t>
            </w:r>
          </w:p>
        </w:tc>
        <w:tc>
          <w:tcPr>
            <w:tcW w:w="945" w:type="dxa"/>
            <w:shd w:val="clear" w:color="auto" w:fill="FFFFFF"/>
          </w:tcPr>
          <w:p w14:paraId="4461DCD9" w14:textId="77777777" w:rsidR="001C332B" w:rsidRPr="005F5C5A" w:rsidRDefault="008352E7" w:rsidP="006E6B76">
            <w:pPr>
              <w:jc w:val="center"/>
              <w:rPr>
                <w:sz w:val="20"/>
                <w:szCs w:val="22"/>
              </w:rPr>
            </w:pPr>
            <w:r w:rsidRPr="005F5C5A">
              <w:rPr>
                <w:sz w:val="20"/>
                <w:szCs w:val="22"/>
              </w:rPr>
              <w:t>0.839</w:t>
            </w:r>
          </w:p>
          <w:p w14:paraId="7962511D" w14:textId="77777777" w:rsidR="001C332B" w:rsidRPr="005F5C5A" w:rsidRDefault="008352E7" w:rsidP="006E6B76">
            <w:pPr>
              <w:jc w:val="center"/>
              <w:rPr>
                <w:sz w:val="20"/>
                <w:szCs w:val="22"/>
              </w:rPr>
            </w:pPr>
            <w:r w:rsidRPr="005F5C5A">
              <w:rPr>
                <w:sz w:val="20"/>
                <w:szCs w:val="22"/>
              </w:rPr>
              <w:t>(0.125)</w:t>
            </w:r>
          </w:p>
        </w:tc>
        <w:tc>
          <w:tcPr>
            <w:tcW w:w="886" w:type="dxa"/>
            <w:shd w:val="clear" w:color="auto" w:fill="FFFFFF"/>
          </w:tcPr>
          <w:p w14:paraId="4BCEAF09" w14:textId="77777777" w:rsidR="001C332B" w:rsidRPr="005F5C5A" w:rsidRDefault="008352E7" w:rsidP="006E6B76">
            <w:pPr>
              <w:jc w:val="center"/>
              <w:rPr>
                <w:sz w:val="20"/>
                <w:szCs w:val="22"/>
              </w:rPr>
            </w:pPr>
            <w:r w:rsidRPr="005F5C5A">
              <w:rPr>
                <w:sz w:val="20"/>
                <w:szCs w:val="22"/>
              </w:rPr>
              <w:t>74.1%</w:t>
            </w:r>
          </w:p>
        </w:tc>
        <w:tc>
          <w:tcPr>
            <w:tcW w:w="1028" w:type="dxa"/>
            <w:shd w:val="clear" w:color="auto" w:fill="FFFFFF"/>
          </w:tcPr>
          <w:p w14:paraId="531DBC84" w14:textId="77777777" w:rsidR="001C332B" w:rsidRPr="005F5C5A" w:rsidRDefault="008352E7" w:rsidP="006E6B76">
            <w:pPr>
              <w:jc w:val="center"/>
              <w:rPr>
                <w:sz w:val="20"/>
                <w:szCs w:val="22"/>
              </w:rPr>
            </w:pPr>
            <w:r w:rsidRPr="005F5C5A">
              <w:rPr>
                <w:sz w:val="20"/>
                <w:szCs w:val="22"/>
              </w:rPr>
              <w:t>9.7%</w:t>
            </w:r>
          </w:p>
        </w:tc>
        <w:tc>
          <w:tcPr>
            <w:tcW w:w="936" w:type="dxa"/>
            <w:shd w:val="clear" w:color="auto" w:fill="FFFFFF"/>
          </w:tcPr>
          <w:p w14:paraId="36D60266" w14:textId="77777777" w:rsidR="001C332B" w:rsidRPr="005F5C5A" w:rsidRDefault="008352E7" w:rsidP="006E6B76">
            <w:pPr>
              <w:jc w:val="center"/>
              <w:rPr>
                <w:b/>
                <w:sz w:val="20"/>
                <w:szCs w:val="22"/>
              </w:rPr>
            </w:pPr>
            <w:r w:rsidRPr="005F5C5A">
              <w:rPr>
                <w:b/>
                <w:sz w:val="20"/>
                <w:szCs w:val="22"/>
              </w:rPr>
              <w:t>0.734 (0.015)</w:t>
            </w:r>
          </w:p>
        </w:tc>
      </w:tr>
      <w:tr w:rsidR="001C332B" w14:paraId="3F19D84E" w14:textId="77777777" w:rsidTr="006E6B76">
        <w:trPr>
          <w:trHeight w:val="113"/>
        </w:trPr>
        <w:tc>
          <w:tcPr>
            <w:tcW w:w="1276" w:type="dxa"/>
            <w:vMerge/>
            <w:shd w:val="clear" w:color="auto" w:fill="FFFFFF"/>
          </w:tcPr>
          <w:p w14:paraId="2B73E032" w14:textId="77777777" w:rsidR="001C332B" w:rsidRDefault="001C332B" w:rsidP="006E6B76">
            <w:pPr>
              <w:widowControl w:val="0"/>
              <w:rPr>
                <w:b/>
                <w:sz w:val="22"/>
                <w:szCs w:val="22"/>
              </w:rPr>
            </w:pPr>
          </w:p>
        </w:tc>
        <w:tc>
          <w:tcPr>
            <w:tcW w:w="1134" w:type="dxa"/>
            <w:shd w:val="clear" w:color="auto" w:fill="E7E6E6"/>
          </w:tcPr>
          <w:p w14:paraId="176CA054" w14:textId="77777777" w:rsidR="001C332B" w:rsidRDefault="008352E7" w:rsidP="006E6B76">
            <w:pPr>
              <w:rPr>
                <w:b/>
                <w:sz w:val="22"/>
                <w:szCs w:val="22"/>
              </w:rPr>
            </w:pPr>
            <w:r>
              <w:rPr>
                <w:b/>
                <w:sz w:val="22"/>
                <w:szCs w:val="22"/>
              </w:rPr>
              <w:t>Ole e 7</w:t>
            </w:r>
          </w:p>
        </w:tc>
        <w:tc>
          <w:tcPr>
            <w:tcW w:w="851" w:type="dxa"/>
            <w:shd w:val="clear" w:color="auto" w:fill="FFFFFF"/>
          </w:tcPr>
          <w:p w14:paraId="3D4F78E7" w14:textId="77777777" w:rsidR="001C332B" w:rsidRPr="005F5C5A" w:rsidRDefault="008352E7" w:rsidP="006E6B76">
            <w:pPr>
              <w:jc w:val="center"/>
              <w:rPr>
                <w:sz w:val="20"/>
                <w:szCs w:val="22"/>
              </w:rPr>
            </w:pPr>
            <w:r w:rsidRPr="005F5C5A">
              <w:rPr>
                <w:sz w:val="20"/>
                <w:szCs w:val="22"/>
              </w:rPr>
              <w:t>0%</w:t>
            </w:r>
          </w:p>
        </w:tc>
        <w:tc>
          <w:tcPr>
            <w:tcW w:w="992" w:type="dxa"/>
            <w:shd w:val="clear" w:color="auto" w:fill="FFFFFF"/>
          </w:tcPr>
          <w:p w14:paraId="2CDE0D36" w14:textId="77777777" w:rsidR="001C332B" w:rsidRPr="005F5C5A" w:rsidRDefault="008352E7" w:rsidP="006E6B76">
            <w:pPr>
              <w:jc w:val="center"/>
              <w:rPr>
                <w:sz w:val="20"/>
                <w:szCs w:val="22"/>
              </w:rPr>
            </w:pPr>
            <w:r w:rsidRPr="005F5C5A">
              <w:rPr>
                <w:sz w:val="20"/>
                <w:szCs w:val="22"/>
              </w:rPr>
              <w:t>0%</w:t>
            </w:r>
          </w:p>
        </w:tc>
        <w:tc>
          <w:tcPr>
            <w:tcW w:w="859" w:type="dxa"/>
            <w:shd w:val="clear" w:color="auto" w:fill="E7E6E6"/>
          </w:tcPr>
          <w:p w14:paraId="5DAD9B8B" w14:textId="77777777" w:rsidR="001C332B" w:rsidRPr="005F5C5A" w:rsidRDefault="001C332B" w:rsidP="006E6B76">
            <w:pPr>
              <w:jc w:val="center"/>
              <w:rPr>
                <w:sz w:val="20"/>
                <w:szCs w:val="22"/>
              </w:rPr>
            </w:pPr>
          </w:p>
        </w:tc>
        <w:tc>
          <w:tcPr>
            <w:tcW w:w="960" w:type="dxa"/>
            <w:shd w:val="clear" w:color="auto" w:fill="E7E6E6"/>
          </w:tcPr>
          <w:p w14:paraId="683515E9" w14:textId="77777777" w:rsidR="001C332B" w:rsidRPr="005F5C5A" w:rsidRDefault="001C332B" w:rsidP="006E6B76">
            <w:pPr>
              <w:jc w:val="center"/>
              <w:rPr>
                <w:sz w:val="20"/>
                <w:szCs w:val="22"/>
              </w:rPr>
            </w:pPr>
          </w:p>
        </w:tc>
        <w:tc>
          <w:tcPr>
            <w:tcW w:w="945" w:type="dxa"/>
            <w:shd w:val="clear" w:color="auto" w:fill="E7E6E6"/>
          </w:tcPr>
          <w:p w14:paraId="5796737E" w14:textId="77777777" w:rsidR="001C332B" w:rsidRPr="005F5C5A" w:rsidRDefault="001C332B" w:rsidP="006E6B76">
            <w:pPr>
              <w:jc w:val="center"/>
              <w:rPr>
                <w:sz w:val="20"/>
                <w:szCs w:val="22"/>
              </w:rPr>
            </w:pPr>
          </w:p>
        </w:tc>
        <w:tc>
          <w:tcPr>
            <w:tcW w:w="886" w:type="dxa"/>
            <w:shd w:val="clear" w:color="auto" w:fill="FFFFFF"/>
          </w:tcPr>
          <w:p w14:paraId="41D99F89" w14:textId="77777777" w:rsidR="001C332B" w:rsidRPr="005F5C5A" w:rsidRDefault="008352E7" w:rsidP="006E6B76">
            <w:pPr>
              <w:jc w:val="center"/>
              <w:rPr>
                <w:sz w:val="20"/>
                <w:szCs w:val="22"/>
              </w:rPr>
            </w:pPr>
            <w:r w:rsidRPr="005F5C5A">
              <w:rPr>
                <w:sz w:val="20"/>
                <w:szCs w:val="22"/>
              </w:rPr>
              <w:t>22.2%</w:t>
            </w:r>
          </w:p>
        </w:tc>
        <w:tc>
          <w:tcPr>
            <w:tcW w:w="1028" w:type="dxa"/>
            <w:shd w:val="clear" w:color="auto" w:fill="FFFFFF"/>
          </w:tcPr>
          <w:p w14:paraId="54CA20C9" w14:textId="77777777" w:rsidR="001C332B" w:rsidRPr="005F5C5A" w:rsidRDefault="008352E7" w:rsidP="006E6B76">
            <w:pPr>
              <w:jc w:val="center"/>
              <w:rPr>
                <w:sz w:val="20"/>
                <w:szCs w:val="22"/>
              </w:rPr>
            </w:pPr>
            <w:r w:rsidRPr="005F5C5A">
              <w:rPr>
                <w:sz w:val="20"/>
                <w:szCs w:val="22"/>
              </w:rPr>
              <w:t>0%</w:t>
            </w:r>
          </w:p>
        </w:tc>
        <w:tc>
          <w:tcPr>
            <w:tcW w:w="936" w:type="dxa"/>
            <w:shd w:val="clear" w:color="auto" w:fill="FFFFFF"/>
          </w:tcPr>
          <w:p w14:paraId="6958ACF0" w14:textId="77777777" w:rsidR="001C332B" w:rsidRPr="005F5C5A" w:rsidRDefault="008352E7" w:rsidP="006E6B76">
            <w:pPr>
              <w:jc w:val="center"/>
              <w:rPr>
                <w:b/>
                <w:sz w:val="20"/>
                <w:szCs w:val="22"/>
              </w:rPr>
            </w:pPr>
            <w:r w:rsidRPr="005F5C5A">
              <w:rPr>
                <w:b/>
                <w:sz w:val="20"/>
                <w:szCs w:val="22"/>
              </w:rPr>
              <w:t>0.000</w:t>
            </w:r>
          </w:p>
          <w:p w14:paraId="09EF5EF0" w14:textId="77777777" w:rsidR="001C332B" w:rsidRPr="005F5C5A" w:rsidRDefault="008352E7" w:rsidP="006E6B76">
            <w:pPr>
              <w:jc w:val="center"/>
              <w:rPr>
                <w:b/>
                <w:sz w:val="20"/>
                <w:szCs w:val="22"/>
              </w:rPr>
            </w:pPr>
            <w:r w:rsidRPr="005F5C5A">
              <w:rPr>
                <w:b/>
                <w:sz w:val="18"/>
                <w:szCs w:val="22"/>
              </w:rPr>
              <w:t>(&lt;0.001)</w:t>
            </w:r>
          </w:p>
        </w:tc>
      </w:tr>
      <w:tr w:rsidR="001C332B" w14:paraId="242BBBC1" w14:textId="77777777" w:rsidTr="006E6B76">
        <w:trPr>
          <w:trHeight w:val="113"/>
        </w:trPr>
        <w:tc>
          <w:tcPr>
            <w:tcW w:w="1276" w:type="dxa"/>
            <w:vMerge/>
            <w:shd w:val="clear" w:color="auto" w:fill="FFFFFF"/>
          </w:tcPr>
          <w:p w14:paraId="5D8C0E3D" w14:textId="77777777" w:rsidR="001C332B" w:rsidRDefault="001C332B" w:rsidP="006E6B76">
            <w:pPr>
              <w:widowControl w:val="0"/>
              <w:rPr>
                <w:b/>
                <w:sz w:val="22"/>
                <w:szCs w:val="22"/>
              </w:rPr>
            </w:pPr>
          </w:p>
        </w:tc>
        <w:tc>
          <w:tcPr>
            <w:tcW w:w="1134" w:type="dxa"/>
            <w:shd w:val="clear" w:color="auto" w:fill="E7E6E6"/>
          </w:tcPr>
          <w:p w14:paraId="610B1532" w14:textId="77777777" w:rsidR="001C332B" w:rsidRDefault="008352E7" w:rsidP="006E6B76">
            <w:pPr>
              <w:rPr>
                <w:b/>
                <w:sz w:val="22"/>
                <w:szCs w:val="22"/>
              </w:rPr>
            </w:pPr>
            <w:r>
              <w:rPr>
                <w:b/>
                <w:sz w:val="22"/>
                <w:szCs w:val="22"/>
              </w:rPr>
              <w:t>Ole e 9</w:t>
            </w:r>
          </w:p>
        </w:tc>
        <w:tc>
          <w:tcPr>
            <w:tcW w:w="851" w:type="dxa"/>
            <w:shd w:val="clear" w:color="auto" w:fill="FFFFFF"/>
          </w:tcPr>
          <w:p w14:paraId="0139139B" w14:textId="77777777" w:rsidR="001C332B" w:rsidRPr="005F5C5A" w:rsidRDefault="008352E7" w:rsidP="006E6B76">
            <w:pPr>
              <w:jc w:val="center"/>
              <w:rPr>
                <w:sz w:val="20"/>
                <w:szCs w:val="22"/>
              </w:rPr>
            </w:pPr>
            <w:r w:rsidRPr="005F5C5A">
              <w:rPr>
                <w:sz w:val="20"/>
                <w:szCs w:val="22"/>
              </w:rPr>
              <w:t>3.7%</w:t>
            </w:r>
          </w:p>
        </w:tc>
        <w:tc>
          <w:tcPr>
            <w:tcW w:w="992" w:type="dxa"/>
            <w:shd w:val="clear" w:color="auto" w:fill="FFFFFF"/>
          </w:tcPr>
          <w:p w14:paraId="05B1DF21" w14:textId="77777777" w:rsidR="001C332B" w:rsidRPr="005F5C5A" w:rsidRDefault="008352E7" w:rsidP="006E6B76">
            <w:pPr>
              <w:jc w:val="center"/>
              <w:rPr>
                <w:sz w:val="20"/>
                <w:szCs w:val="22"/>
              </w:rPr>
            </w:pPr>
            <w:r w:rsidRPr="005F5C5A">
              <w:rPr>
                <w:sz w:val="20"/>
                <w:szCs w:val="22"/>
              </w:rPr>
              <w:t>0%</w:t>
            </w:r>
          </w:p>
        </w:tc>
        <w:tc>
          <w:tcPr>
            <w:tcW w:w="859" w:type="dxa"/>
            <w:shd w:val="clear" w:color="auto" w:fill="E7E6E6"/>
          </w:tcPr>
          <w:p w14:paraId="13C9A2D9" w14:textId="77777777" w:rsidR="001C332B" w:rsidRPr="005F5C5A" w:rsidRDefault="001C332B" w:rsidP="006E6B76">
            <w:pPr>
              <w:jc w:val="center"/>
              <w:rPr>
                <w:sz w:val="20"/>
                <w:szCs w:val="22"/>
              </w:rPr>
            </w:pPr>
          </w:p>
        </w:tc>
        <w:tc>
          <w:tcPr>
            <w:tcW w:w="960" w:type="dxa"/>
            <w:shd w:val="clear" w:color="auto" w:fill="E7E6E6"/>
          </w:tcPr>
          <w:p w14:paraId="39792419" w14:textId="77777777" w:rsidR="001C332B" w:rsidRPr="005F5C5A" w:rsidRDefault="001C332B" w:rsidP="006E6B76">
            <w:pPr>
              <w:jc w:val="center"/>
              <w:rPr>
                <w:sz w:val="20"/>
                <w:szCs w:val="22"/>
              </w:rPr>
            </w:pPr>
          </w:p>
        </w:tc>
        <w:tc>
          <w:tcPr>
            <w:tcW w:w="945" w:type="dxa"/>
            <w:shd w:val="clear" w:color="auto" w:fill="E7E6E6"/>
          </w:tcPr>
          <w:p w14:paraId="776AB5AA" w14:textId="77777777" w:rsidR="001C332B" w:rsidRPr="005F5C5A" w:rsidRDefault="001C332B" w:rsidP="006E6B76">
            <w:pPr>
              <w:jc w:val="center"/>
              <w:rPr>
                <w:sz w:val="20"/>
                <w:szCs w:val="22"/>
              </w:rPr>
            </w:pPr>
          </w:p>
        </w:tc>
        <w:tc>
          <w:tcPr>
            <w:tcW w:w="886" w:type="dxa"/>
            <w:shd w:val="clear" w:color="auto" w:fill="FFFFFF"/>
          </w:tcPr>
          <w:p w14:paraId="53C84453" w14:textId="77777777" w:rsidR="001C332B" w:rsidRPr="005F5C5A" w:rsidRDefault="008352E7" w:rsidP="006E6B76">
            <w:pPr>
              <w:jc w:val="center"/>
              <w:rPr>
                <w:sz w:val="20"/>
                <w:szCs w:val="22"/>
              </w:rPr>
            </w:pPr>
            <w:r w:rsidRPr="005F5C5A">
              <w:rPr>
                <w:sz w:val="20"/>
                <w:szCs w:val="22"/>
              </w:rPr>
              <w:t>0%</w:t>
            </w:r>
          </w:p>
        </w:tc>
        <w:tc>
          <w:tcPr>
            <w:tcW w:w="1028" w:type="dxa"/>
            <w:shd w:val="clear" w:color="auto" w:fill="FFFFFF"/>
          </w:tcPr>
          <w:p w14:paraId="44F210E0" w14:textId="77777777" w:rsidR="001C332B" w:rsidRPr="005F5C5A" w:rsidRDefault="008352E7" w:rsidP="006E6B76">
            <w:pPr>
              <w:jc w:val="center"/>
              <w:rPr>
                <w:sz w:val="20"/>
                <w:szCs w:val="22"/>
              </w:rPr>
            </w:pPr>
            <w:r w:rsidRPr="005F5C5A">
              <w:rPr>
                <w:sz w:val="20"/>
                <w:szCs w:val="22"/>
              </w:rPr>
              <w:t>0%</w:t>
            </w:r>
          </w:p>
        </w:tc>
        <w:tc>
          <w:tcPr>
            <w:tcW w:w="936" w:type="dxa"/>
            <w:shd w:val="clear" w:color="auto" w:fill="FFFFFF"/>
          </w:tcPr>
          <w:p w14:paraId="157E2A5C" w14:textId="77777777" w:rsidR="00583B0D" w:rsidRPr="005F5C5A" w:rsidRDefault="00583B0D" w:rsidP="00583B0D">
            <w:pPr>
              <w:jc w:val="center"/>
              <w:rPr>
                <w:sz w:val="20"/>
                <w:szCs w:val="22"/>
              </w:rPr>
            </w:pPr>
            <w:r w:rsidRPr="00583B0D">
              <w:rPr>
                <w:sz w:val="20"/>
                <w:szCs w:val="22"/>
              </w:rPr>
              <w:t xml:space="preserve">0.000 </w:t>
            </w:r>
            <w:r w:rsidR="008352E7" w:rsidRPr="005F5C5A">
              <w:rPr>
                <w:sz w:val="20"/>
                <w:szCs w:val="22"/>
              </w:rPr>
              <w:t>(1)</w:t>
            </w:r>
          </w:p>
        </w:tc>
      </w:tr>
      <w:tr w:rsidR="001C332B" w14:paraId="1F0D41B4" w14:textId="77777777" w:rsidTr="006E6B76">
        <w:trPr>
          <w:trHeight w:val="113"/>
        </w:trPr>
        <w:tc>
          <w:tcPr>
            <w:tcW w:w="1276" w:type="dxa"/>
            <w:vMerge w:val="restart"/>
            <w:shd w:val="clear" w:color="auto" w:fill="FFFFFF"/>
          </w:tcPr>
          <w:p w14:paraId="3CCE94A9" w14:textId="77777777" w:rsidR="001C332B" w:rsidRDefault="008352E7" w:rsidP="006E6B76">
            <w:pPr>
              <w:rPr>
                <w:b/>
                <w:i/>
                <w:sz w:val="18"/>
                <w:szCs w:val="18"/>
              </w:rPr>
            </w:pPr>
            <w:r>
              <w:rPr>
                <w:b/>
                <w:i/>
                <w:sz w:val="18"/>
                <w:szCs w:val="18"/>
              </w:rPr>
              <w:t>D. pteronyssinus</w:t>
            </w:r>
          </w:p>
        </w:tc>
        <w:tc>
          <w:tcPr>
            <w:tcW w:w="1134" w:type="dxa"/>
            <w:shd w:val="clear" w:color="auto" w:fill="E7E6E6"/>
          </w:tcPr>
          <w:p w14:paraId="5C29DE0D" w14:textId="77777777" w:rsidR="001C332B" w:rsidRDefault="008352E7" w:rsidP="006E6B76">
            <w:pPr>
              <w:rPr>
                <w:b/>
                <w:sz w:val="22"/>
                <w:szCs w:val="22"/>
              </w:rPr>
            </w:pPr>
            <w:r>
              <w:rPr>
                <w:b/>
                <w:sz w:val="22"/>
                <w:szCs w:val="22"/>
              </w:rPr>
              <w:t>Der p 1</w:t>
            </w:r>
          </w:p>
        </w:tc>
        <w:tc>
          <w:tcPr>
            <w:tcW w:w="851" w:type="dxa"/>
            <w:shd w:val="clear" w:color="auto" w:fill="FFFFFF"/>
          </w:tcPr>
          <w:p w14:paraId="4D387D93" w14:textId="77777777" w:rsidR="001C332B" w:rsidRPr="005F5C5A" w:rsidRDefault="008352E7" w:rsidP="006E6B76">
            <w:pPr>
              <w:jc w:val="center"/>
              <w:rPr>
                <w:sz w:val="20"/>
                <w:szCs w:val="22"/>
              </w:rPr>
            </w:pPr>
            <w:r w:rsidRPr="005F5C5A">
              <w:rPr>
                <w:sz w:val="20"/>
                <w:szCs w:val="22"/>
              </w:rPr>
              <w:t>60%</w:t>
            </w:r>
          </w:p>
        </w:tc>
        <w:tc>
          <w:tcPr>
            <w:tcW w:w="992" w:type="dxa"/>
            <w:shd w:val="clear" w:color="auto" w:fill="FFFFFF"/>
          </w:tcPr>
          <w:p w14:paraId="0B365CFA" w14:textId="77777777" w:rsidR="001C332B" w:rsidRPr="005F5C5A" w:rsidRDefault="008352E7" w:rsidP="006E6B76">
            <w:pPr>
              <w:jc w:val="center"/>
              <w:rPr>
                <w:sz w:val="20"/>
                <w:szCs w:val="22"/>
              </w:rPr>
            </w:pPr>
            <w:r w:rsidRPr="005F5C5A">
              <w:rPr>
                <w:sz w:val="20"/>
                <w:szCs w:val="22"/>
              </w:rPr>
              <w:t>0%</w:t>
            </w:r>
          </w:p>
        </w:tc>
        <w:tc>
          <w:tcPr>
            <w:tcW w:w="859" w:type="dxa"/>
            <w:shd w:val="clear" w:color="auto" w:fill="FFFFFF"/>
          </w:tcPr>
          <w:p w14:paraId="3F999DDD" w14:textId="77777777" w:rsidR="001C332B" w:rsidRPr="005F5C5A" w:rsidRDefault="008352E7" w:rsidP="006E6B76">
            <w:pPr>
              <w:jc w:val="center"/>
              <w:rPr>
                <w:sz w:val="20"/>
                <w:szCs w:val="22"/>
              </w:rPr>
            </w:pPr>
            <w:r w:rsidRPr="005F5C5A">
              <w:rPr>
                <w:sz w:val="20"/>
                <w:szCs w:val="22"/>
              </w:rPr>
              <w:t>70%</w:t>
            </w:r>
          </w:p>
        </w:tc>
        <w:tc>
          <w:tcPr>
            <w:tcW w:w="960" w:type="dxa"/>
            <w:shd w:val="clear" w:color="auto" w:fill="FFFFFF"/>
          </w:tcPr>
          <w:p w14:paraId="034A0639" w14:textId="77777777" w:rsidR="001C332B" w:rsidRPr="005F5C5A" w:rsidRDefault="008352E7" w:rsidP="006E6B76">
            <w:pPr>
              <w:jc w:val="center"/>
              <w:rPr>
                <w:sz w:val="20"/>
                <w:szCs w:val="22"/>
              </w:rPr>
            </w:pPr>
            <w:r w:rsidRPr="005F5C5A">
              <w:rPr>
                <w:sz w:val="20"/>
                <w:szCs w:val="22"/>
              </w:rPr>
              <w:t>0%</w:t>
            </w:r>
          </w:p>
        </w:tc>
        <w:tc>
          <w:tcPr>
            <w:tcW w:w="945" w:type="dxa"/>
            <w:shd w:val="clear" w:color="auto" w:fill="FFFFFF"/>
          </w:tcPr>
          <w:p w14:paraId="49DD7181" w14:textId="77777777" w:rsidR="001C332B" w:rsidRPr="005F5C5A" w:rsidRDefault="008352E7" w:rsidP="006E6B76">
            <w:pPr>
              <w:jc w:val="center"/>
              <w:rPr>
                <w:sz w:val="20"/>
                <w:szCs w:val="22"/>
              </w:rPr>
            </w:pPr>
            <w:r w:rsidRPr="005F5C5A">
              <w:rPr>
                <w:sz w:val="20"/>
                <w:szCs w:val="22"/>
              </w:rPr>
              <w:t>0.889 (0.5)</w:t>
            </w:r>
          </w:p>
        </w:tc>
        <w:tc>
          <w:tcPr>
            <w:tcW w:w="886" w:type="dxa"/>
            <w:shd w:val="clear" w:color="auto" w:fill="FFFFFF"/>
          </w:tcPr>
          <w:p w14:paraId="4F582F91" w14:textId="77777777" w:rsidR="001C332B" w:rsidRPr="005F5C5A" w:rsidRDefault="008352E7" w:rsidP="006E6B76">
            <w:pPr>
              <w:jc w:val="center"/>
              <w:rPr>
                <w:sz w:val="20"/>
                <w:szCs w:val="22"/>
              </w:rPr>
            </w:pPr>
            <w:r w:rsidRPr="005F5C5A">
              <w:rPr>
                <w:sz w:val="20"/>
                <w:szCs w:val="22"/>
              </w:rPr>
              <w:t>60%</w:t>
            </w:r>
          </w:p>
        </w:tc>
        <w:tc>
          <w:tcPr>
            <w:tcW w:w="1028" w:type="dxa"/>
            <w:shd w:val="clear" w:color="auto" w:fill="FFFFFF"/>
          </w:tcPr>
          <w:p w14:paraId="0525A605" w14:textId="77777777" w:rsidR="001C332B" w:rsidRPr="005F5C5A" w:rsidRDefault="008352E7" w:rsidP="006E6B76">
            <w:pPr>
              <w:jc w:val="center"/>
              <w:rPr>
                <w:sz w:val="20"/>
                <w:szCs w:val="22"/>
              </w:rPr>
            </w:pPr>
            <w:r w:rsidRPr="005F5C5A">
              <w:rPr>
                <w:sz w:val="20"/>
                <w:szCs w:val="22"/>
              </w:rPr>
              <w:t>0%</w:t>
            </w:r>
          </w:p>
        </w:tc>
        <w:tc>
          <w:tcPr>
            <w:tcW w:w="936" w:type="dxa"/>
            <w:shd w:val="clear" w:color="auto" w:fill="FFFFFF"/>
          </w:tcPr>
          <w:p w14:paraId="105EC737" w14:textId="77777777" w:rsidR="001C332B" w:rsidRPr="005F5C5A" w:rsidRDefault="008352E7" w:rsidP="006E6B76">
            <w:pPr>
              <w:jc w:val="center"/>
              <w:rPr>
                <w:sz w:val="20"/>
                <w:szCs w:val="22"/>
              </w:rPr>
            </w:pPr>
            <w:r w:rsidRPr="005F5C5A">
              <w:rPr>
                <w:sz w:val="20"/>
                <w:szCs w:val="22"/>
              </w:rPr>
              <w:t>1 (1)</w:t>
            </w:r>
          </w:p>
        </w:tc>
      </w:tr>
      <w:tr w:rsidR="001C332B" w14:paraId="2B214B7F" w14:textId="77777777" w:rsidTr="006E6B76">
        <w:trPr>
          <w:trHeight w:val="113"/>
        </w:trPr>
        <w:tc>
          <w:tcPr>
            <w:tcW w:w="1276" w:type="dxa"/>
            <w:vMerge/>
            <w:shd w:val="clear" w:color="auto" w:fill="FFFFFF"/>
          </w:tcPr>
          <w:p w14:paraId="5A9E5D1F" w14:textId="77777777" w:rsidR="001C332B" w:rsidRDefault="001C332B" w:rsidP="006E6B76">
            <w:pPr>
              <w:widowControl w:val="0"/>
              <w:rPr>
                <w:sz w:val="22"/>
                <w:szCs w:val="22"/>
              </w:rPr>
            </w:pPr>
          </w:p>
        </w:tc>
        <w:tc>
          <w:tcPr>
            <w:tcW w:w="1134" w:type="dxa"/>
            <w:shd w:val="clear" w:color="auto" w:fill="E7E6E6"/>
          </w:tcPr>
          <w:p w14:paraId="08675A16" w14:textId="77777777" w:rsidR="001C332B" w:rsidRDefault="008352E7" w:rsidP="006E6B76">
            <w:pPr>
              <w:rPr>
                <w:b/>
                <w:sz w:val="22"/>
                <w:szCs w:val="22"/>
              </w:rPr>
            </w:pPr>
            <w:r>
              <w:rPr>
                <w:b/>
                <w:sz w:val="22"/>
                <w:szCs w:val="22"/>
              </w:rPr>
              <w:t>Der p 2</w:t>
            </w:r>
          </w:p>
        </w:tc>
        <w:tc>
          <w:tcPr>
            <w:tcW w:w="851" w:type="dxa"/>
            <w:shd w:val="clear" w:color="auto" w:fill="FFFFFF"/>
          </w:tcPr>
          <w:p w14:paraId="7FF7C013" w14:textId="77777777" w:rsidR="001C332B" w:rsidRPr="005F5C5A" w:rsidRDefault="008352E7" w:rsidP="006E6B76">
            <w:pPr>
              <w:jc w:val="center"/>
              <w:rPr>
                <w:sz w:val="20"/>
                <w:szCs w:val="22"/>
              </w:rPr>
            </w:pPr>
            <w:r w:rsidRPr="005F5C5A">
              <w:rPr>
                <w:sz w:val="20"/>
                <w:szCs w:val="22"/>
              </w:rPr>
              <w:t>70%</w:t>
            </w:r>
          </w:p>
        </w:tc>
        <w:tc>
          <w:tcPr>
            <w:tcW w:w="992" w:type="dxa"/>
            <w:shd w:val="clear" w:color="auto" w:fill="FFFFFF"/>
          </w:tcPr>
          <w:p w14:paraId="5E90A10C" w14:textId="77777777" w:rsidR="001C332B" w:rsidRPr="005F5C5A" w:rsidRDefault="008352E7" w:rsidP="006E6B76">
            <w:pPr>
              <w:jc w:val="center"/>
              <w:rPr>
                <w:sz w:val="20"/>
                <w:szCs w:val="22"/>
              </w:rPr>
            </w:pPr>
            <w:r w:rsidRPr="005F5C5A">
              <w:rPr>
                <w:sz w:val="20"/>
                <w:szCs w:val="22"/>
              </w:rPr>
              <w:t>0%</w:t>
            </w:r>
          </w:p>
        </w:tc>
        <w:tc>
          <w:tcPr>
            <w:tcW w:w="859" w:type="dxa"/>
            <w:shd w:val="clear" w:color="auto" w:fill="FFFFFF"/>
          </w:tcPr>
          <w:p w14:paraId="6D7F24D8" w14:textId="77777777" w:rsidR="001C332B" w:rsidRPr="005F5C5A" w:rsidRDefault="008352E7" w:rsidP="006E6B76">
            <w:pPr>
              <w:jc w:val="center"/>
              <w:rPr>
                <w:sz w:val="20"/>
                <w:szCs w:val="22"/>
              </w:rPr>
            </w:pPr>
            <w:r w:rsidRPr="005F5C5A">
              <w:rPr>
                <w:sz w:val="20"/>
                <w:szCs w:val="22"/>
              </w:rPr>
              <w:t>70%</w:t>
            </w:r>
          </w:p>
        </w:tc>
        <w:tc>
          <w:tcPr>
            <w:tcW w:w="960" w:type="dxa"/>
            <w:shd w:val="clear" w:color="auto" w:fill="FFFFFF"/>
          </w:tcPr>
          <w:p w14:paraId="41B56A5B" w14:textId="77777777" w:rsidR="001C332B" w:rsidRPr="005F5C5A" w:rsidRDefault="008352E7" w:rsidP="006E6B76">
            <w:pPr>
              <w:jc w:val="center"/>
              <w:rPr>
                <w:sz w:val="20"/>
                <w:szCs w:val="22"/>
              </w:rPr>
            </w:pPr>
            <w:r w:rsidRPr="005F5C5A">
              <w:rPr>
                <w:sz w:val="20"/>
                <w:szCs w:val="22"/>
              </w:rPr>
              <w:t>0%</w:t>
            </w:r>
          </w:p>
        </w:tc>
        <w:tc>
          <w:tcPr>
            <w:tcW w:w="945" w:type="dxa"/>
            <w:shd w:val="clear" w:color="auto" w:fill="FFFFFF"/>
          </w:tcPr>
          <w:p w14:paraId="67BDF082" w14:textId="77777777" w:rsidR="001C332B" w:rsidRPr="005F5C5A" w:rsidRDefault="008352E7" w:rsidP="006E6B76">
            <w:pPr>
              <w:jc w:val="center"/>
              <w:rPr>
                <w:sz w:val="20"/>
                <w:szCs w:val="22"/>
              </w:rPr>
            </w:pPr>
            <w:r w:rsidRPr="005F5C5A">
              <w:rPr>
                <w:sz w:val="20"/>
                <w:szCs w:val="22"/>
              </w:rPr>
              <w:t>1 (1)</w:t>
            </w:r>
          </w:p>
        </w:tc>
        <w:tc>
          <w:tcPr>
            <w:tcW w:w="886" w:type="dxa"/>
            <w:shd w:val="clear" w:color="auto" w:fill="FFFFFF"/>
          </w:tcPr>
          <w:p w14:paraId="7CC0A80E" w14:textId="77777777" w:rsidR="001C332B" w:rsidRPr="005F5C5A" w:rsidRDefault="008352E7" w:rsidP="006E6B76">
            <w:pPr>
              <w:jc w:val="center"/>
              <w:rPr>
                <w:sz w:val="20"/>
                <w:szCs w:val="22"/>
              </w:rPr>
            </w:pPr>
            <w:r w:rsidRPr="005F5C5A">
              <w:rPr>
                <w:sz w:val="20"/>
                <w:szCs w:val="22"/>
              </w:rPr>
              <w:t>65%</w:t>
            </w:r>
          </w:p>
        </w:tc>
        <w:tc>
          <w:tcPr>
            <w:tcW w:w="1028" w:type="dxa"/>
            <w:shd w:val="clear" w:color="auto" w:fill="FFFFFF"/>
          </w:tcPr>
          <w:p w14:paraId="05FC1275" w14:textId="77777777" w:rsidR="001C332B" w:rsidRPr="005F5C5A" w:rsidRDefault="008352E7" w:rsidP="006E6B76">
            <w:pPr>
              <w:jc w:val="center"/>
              <w:rPr>
                <w:sz w:val="20"/>
                <w:szCs w:val="22"/>
              </w:rPr>
            </w:pPr>
            <w:r w:rsidRPr="005F5C5A">
              <w:rPr>
                <w:sz w:val="20"/>
                <w:szCs w:val="22"/>
              </w:rPr>
              <w:t>0%</w:t>
            </w:r>
          </w:p>
        </w:tc>
        <w:tc>
          <w:tcPr>
            <w:tcW w:w="936" w:type="dxa"/>
            <w:shd w:val="clear" w:color="auto" w:fill="FFFFFF"/>
          </w:tcPr>
          <w:p w14:paraId="325CBF3D" w14:textId="77777777" w:rsidR="001C332B" w:rsidRPr="005F5C5A" w:rsidRDefault="008352E7" w:rsidP="006E6B76">
            <w:pPr>
              <w:jc w:val="center"/>
              <w:rPr>
                <w:sz w:val="20"/>
                <w:szCs w:val="22"/>
              </w:rPr>
            </w:pPr>
            <w:r w:rsidRPr="005F5C5A">
              <w:rPr>
                <w:sz w:val="20"/>
                <w:szCs w:val="22"/>
              </w:rPr>
              <w:t>0.946 (1)</w:t>
            </w:r>
          </w:p>
        </w:tc>
      </w:tr>
      <w:tr w:rsidR="001C332B" w14:paraId="47AD2A92" w14:textId="77777777" w:rsidTr="006E6B76">
        <w:trPr>
          <w:trHeight w:val="113"/>
        </w:trPr>
        <w:tc>
          <w:tcPr>
            <w:tcW w:w="1276" w:type="dxa"/>
            <w:vMerge/>
            <w:shd w:val="clear" w:color="auto" w:fill="FFFFFF"/>
          </w:tcPr>
          <w:p w14:paraId="375A13CA" w14:textId="77777777" w:rsidR="001C332B" w:rsidRDefault="001C332B" w:rsidP="006E6B76">
            <w:pPr>
              <w:widowControl w:val="0"/>
              <w:rPr>
                <w:sz w:val="22"/>
                <w:szCs w:val="22"/>
              </w:rPr>
            </w:pPr>
          </w:p>
        </w:tc>
        <w:tc>
          <w:tcPr>
            <w:tcW w:w="1134" w:type="dxa"/>
            <w:shd w:val="clear" w:color="auto" w:fill="E7E6E6"/>
          </w:tcPr>
          <w:p w14:paraId="15B5FF42" w14:textId="77777777" w:rsidR="001C332B" w:rsidRDefault="008352E7" w:rsidP="006E6B76">
            <w:pPr>
              <w:rPr>
                <w:b/>
                <w:sz w:val="22"/>
                <w:szCs w:val="22"/>
              </w:rPr>
            </w:pPr>
            <w:r>
              <w:rPr>
                <w:b/>
                <w:sz w:val="22"/>
                <w:szCs w:val="22"/>
              </w:rPr>
              <w:t>Der p 5</w:t>
            </w:r>
          </w:p>
        </w:tc>
        <w:tc>
          <w:tcPr>
            <w:tcW w:w="851" w:type="dxa"/>
            <w:shd w:val="clear" w:color="auto" w:fill="FFFFFF"/>
          </w:tcPr>
          <w:p w14:paraId="020E3669" w14:textId="77777777" w:rsidR="001C332B" w:rsidRPr="005F5C5A" w:rsidRDefault="008352E7" w:rsidP="006E6B76">
            <w:pPr>
              <w:jc w:val="center"/>
              <w:rPr>
                <w:sz w:val="20"/>
                <w:szCs w:val="22"/>
              </w:rPr>
            </w:pPr>
            <w:r w:rsidRPr="005F5C5A">
              <w:rPr>
                <w:sz w:val="20"/>
                <w:szCs w:val="22"/>
              </w:rPr>
              <w:t>40%</w:t>
            </w:r>
          </w:p>
        </w:tc>
        <w:tc>
          <w:tcPr>
            <w:tcW w:w="992" w:type="dxa"/>
            <w:shd w:val="clear" w:color="auto" w:fill="FFFFFF"/>
          </w:tcPr>
          <w:p w14:paraId="764A0CCB" w14:textId="77777777" w:rsidR="001C332B" w:rsidRPr="005F5C5A" w:rsidRDefault="008352E7" w:rsidP="006E6B76">
            <w:pPr>
              <w:jc w:val="center"/>
              <w:rPr>
                <w:sz w:val="20"/>
                <w:szCs w:val="22"/>
              </w:rPr>
            </w:pPr>
            <w:r w:rsidRPr="005F5C5A">
              <w:rPr>
                <w:sz w:val="20"/>
                <w:szCs w:val="22"/>
              </w:rPr>
              <w:t>0%</w:t>
            </w:r>
          </w:p>
        </w:tc>
        <w:tc>
          <w:tcPr>
            <w:tcW w:w="859" w:type="dxa"/>
            <w:shd w:val="clear" w:color="auto" w:fill="E7E6E6"/>
          </w:tcPr>
          <w:p w14:paraId="11D9BFDD" w14:textId="77777777" w:rsidR="001C332B" w:rsidRPr="005F5C5A" w:rsidRDefault="001C332B" w:rsidP="006E6B76">
            <w:pPr>
              <w:jc w:val="center"/>
              <w:rPr>
                <w:sz w:val="20"/>
                <w:szCs w:val="22"/>
              </w:rPr>
            </w:pPr>
          </w:p>
        </w:tc>
        <w:tc>
          <w:tcPr>
            <w:tcW w:w="960" w:type="dxa"/>
            <w:shd w:val="clear" w:color="auto" w:fill="E7E6E6"/>
          </w:tcPr>
          <w:p w14:paraId="69A22BEB" w14:textId="77777777" w:rsidR="001C332B" w:rsidRPr="005F5C5A" w:rsidRDefault="001C332B" w:rsidP="006E6B76">
            <w:pPr>
              <w:jc w:val="center"/>
              <w:rPr>
                <w:sz w:val="20"/>
                <w:szCs w:val="22"/>
              </w:rPr>
            </w:pPr>
          </w:p>
        </w:tc>
        <w:tc>
          <w:tcPr>
            <w:tcW w:w="945" w:type="dxa"/>
            <w:shd w:val="clear" w:color="auto" w:fill="E7E6E6"/>
          </w:tcPr>
          <w:p w14:paraId="0D7BBDC7" w14:textId="77777777" w:rsidR="001C332B" w:rsidRPr="005F5C5A" w:rsidRDefault="001C332B" w:rsidP="006E6B76">
            <w:pPr>
              <w:jc w:val="center"/>
              <w:rPr>
                <w:sz w:val="20"/>
                <w:szCs w:val="22"/>
              </w:rPr>
            </w:pPr>
          </w:p>
        </w:tc>
        <w:tc>
          <w:tcPr>
            <w:tcW w:w="886" w:type="dxa"/>
            <w:shd w:val="clear" w:color="auto" w:fill="E7E6E6"/>
          </w:tcPr>
          <w:p w14:paraId="5F2C21E1" w14:textId="77777777" w:rsidR="001C332B" w:rsidRPr="005F5C5A" w:rsidRDefault="001C332B" w:rsidP="006E6B76">
            <w:pPr>
              <w:jc w:val="center"/>
              <w:rPr>
                <w:sz w:val="20"/>
                <w:szCs w:val="22"/>
              </w:rPr>
            </w:pPr>
          </w:p>
        </w:tc>
        <w:tc>
          <w:tcPr>
            <w:tcW w:w="1028" w:type="dxa"/>
            <w:shd w:val="clear" w:color="auto" w:fill="E7E6E6"/>
          </w:tcPr>
          <w:p w14:paraId="3B1CA37C" w14:textId="77777777" w:rsidR="001C332B" w:rsidRPr="005F5C5A" w:rsidRDefault="001C332B" w:rsidP="006E6B76">
            <w:pPr>
              <w:jc w:val="center"/>
              <w:rPr>
                <w:sz w:val="20"/>
                <w:szCs w:val="22"/>
              </w:rPr>
            </w:pPr>
          </w:p>
        </w:tc>
        <w:tc>
          <w:tcPr>
            <w:tcW w:w="936" w:type="dxa"/>
            <w:shd w:val="clear" w:color="auto" w:fill="E7E6E6"/>
          </w:tcPr>
          <w:p w14:paraId="54B8915B" w14:textId="77777777" w:rsidR="001C332B" w:rsidRPr="005F5C5A" w:rsidRDefault="001C332B" w:rsidP="006E6B76">
            <w:pPr>
              <w:jc w:val="center"/>
              <w:rPr>
                <w:sz w:val="20"/>
                <w:szCs w:val="22"/>
              </w:rPr>
            </w:pPr>
          </w:p>
        </w:tc>
      </w:tr>
      <w:tr w:rsidR="001C332B" w14:paraId="6CB5AF72" w14:textId="77777777" w:rsidTr="006E6B76">
        <w:trPr>
          <w:trHeight w:val="113"/>
        </w:trPr>
        <w:tc>
          <w:tcPr>
            <w:tcW w:w="1276" w:type="dxa"/>
            <w:vMerge/>
            <w:shd w:val="clear" w:color="auto" w:fill="FFFFFF"/>
          </w:tcPr>
          <w:p w14:paraId="59470D10" w14:textId="77777777" w:rsidR="001C332B" w:rsidRDefault="001C332B" w:rsidP="006E6B76">
            <w:pPr>
              <w:widowControl w:val="0"/>
              <w:rPr>
                <w:sz w:val="22"/>
                <w:szCs w:val="22"/>
              </w:rPr>
            </w:pPr>
          </w:p>
        </w:tc>
        <w:tc>
          <w:tcPr>
            <w:tcW w:w="1134" w:type="dxa"/>
            <w:shd w:val="clear" w:color="auto" w:fill="E7E6E6"/>
          </w:tcPr>
          <w:p w14:paraId="15CCF97B" w14:textId="77777777" w:rsidR="001C332B" w:rsidRDefault="008352E7" w:rsidP="006E6B76">
            <w:pPr>
              <w:rPr>
                <w:b/>
                <w:sz w:val="22"/>
                <w:szCs w:val="22"/>
              </w:rPr>
            </w:pPr>
            <w:r>
              <w:rPr>
                <w:b/>
                <w:sz w:val="22"/>
                <w:szCs w:val="22"/>
              </w:rPr>
              <w:t>Der p 7</w:t>
            </w:r>
          </w:p>
        </w:tc>
        <w:tc>
          <w:tcPr>
            <w:tcW w:w="851" w:type="dxa"/>
            <w:shd w:val="clear" w:color="auto" w:fill="FFFFFF"/>
          </w:tcPr>
          <w:p w14:paraId="738B8EEA" w14:textId="77777777" w:rsidR="001C332B" w:rsidRPr="005F5C5A" w:rsidRDefault="008352E7" w:rsidP="006E6B76">
            <w:pPr>
              <w:jc w:val="center"/>
              <w:rPr>
                <w:sz w:val="20"/>
                <w:szCs w:val="22"/>
              </w:rPr>
            </w:pPr>
            <w:r w:rsidRPr="005F5C5A">
              <w:rPr>
                <w:sz w:val="20"/>
                <w:szCs w:val="22"/>
              </w:rPr>
              <w:t>55%</w:t>
            </w:r>
          </w:p>
        </w:tc>
        <w:tc>
          <w:tcPr>
            <w:tcW w:w="992" w:type="dxa"/>
            <w:shd w:val="clear" w:color="auto" w:fill="FFFFFF"/>
          </w:tcPr>
          <w:p w14:paraId="4BF69FCB" w14:textId="77777777" w:rsidR="001C332B" w:rsidRPr="005F5C5A" w:rsidRDefault="008352E7" w:rsidP="006E6B76">
            <w:pPr>
              <w:jc w:val="center"/>
              <w:rPr>
                <w:sz w:val="20"/>
                <w:szCs w:val="22"/>
              </w:rPr>
            </w:pPr>
            <w:r w:rsidRPr="005F5C5A">
              <w:rPr>
                <w:sz w:val="20"/>
                <w:szCs w:val="22"/>
              </w:rPr>
              <w:t>0%</w:t>
            </w:r>
          </w:p>
        </w:tc>
        <w:tc>
          <w:tcPr>
            <w:tcW w:w="859" w:type="dxa"/>
            <w:shd w:val="clear" w:color="auto" w:fill="E7E6E6"/>
          </w:tcPr>
          <w:p w14:paraId="4F5D0117" w14:textId="77777777" w:rsidR="001C332B" w:rsidRPr="005F5C5A" w:rsidRDefault="001C332B" w:rsidP="006E6B76">
            <w:pPr>
              <w:jc w:val="center"/>
              <w:rPr>
                <w:sz w:val="20"/>
                <w:szCs w:val="22"/>
              </w:rPr>
            </w:pPr>
          </w:p>
        </w:tc>
        <w:tc>
          <w:tcPr>
            <w:tcW w:w="960" w:type="dxa"/>
            <w:shd w:val="clear" w:color="auto" w:fill="E7E6E6"/>
          </w:tcPr>
          <w:p w14:paraId="3DFFC119" w14:textId="77777777" w:rsidR="001C332B" w:rsidRPr="005F5C5A" w:rsidRDefault="001C332B" w:rsidP="006E6B76">
            <w:pPr>
              <w:jc w:val="center"/>
              <w:rPr>
                <w:sz w:val="20"/>
                <w:szCs w:val="22"/>
              </w:rPr>
            </w:pPr>
          </w:p>
        </w:tc>
        <w:tc>
          <w:tcPr>
            <w:tcW w:w="945" w:type="dxa"/>
            <w:shd w:val="clear" w:color="auto" w:fill="E7E6E6"/>
          </w:tcPr>
          <w:p w14:paraId="179FAB95" w14:textId="77777777" w:rsidR="001C332B" w:rsidRPr="005F5C5A" w:rsidRDefault="001C332B" w:rsidP="006E6B76">
            <w:pPr>
              <w:jc w:val="center"/>
              <w:rPr>
                <w:sz w:val="20"/>
                <w:szCs w:val="22"/>
              </w:rPr>
            </w:pPr>
          </w:p>
        </w:tc>
        <w:tc>
          <w:tcPr>
            <w:tcW w:w="886" w:type="dxa"/>
            <w:shd w:val="clear" w:color="auto" w:fill="E7E6E6"/>
          </w:tcPr>
          <w:p w14:paraId="63864240" w14:textId="77777777" w:rsidR="001C332B" w:rsidRPr="005F5C5A" w:rsidRDefault="001C332B" w:rsidP="006E6B76">
            <w:pPr>
              <w:jc w:val="center"/>
              <w:rPr>
                <w:sz w:val="20"/>
                <w:szCs w:val="22"/>
              </w:rPr>
            </w:pPr>
          </w:p>
        </w:tc>
        <w:tc>
          <w:tcPr>
            <w:tcW w:w="1028" w:type="dxa"/>
            <w:shd w:val="clear" w:color="auto" w:fill="E7E6E6"/>
          </w:tcPr>
          <w:p w14:paraId="30A88A43" w14:textId="77777777" w:rsidR="001C332B" w:rsidRPr="005F5C5A" w:rsidRDefault="001C332B" w:rsidP="006E6B76">
            <w:pPr>
              <w:jc w:val="center"/>
              <w:rPr>
                <w:sz w:val="20"/>
                <w:szCs w:val="22"/>
              </w:rPr>
            </w:pPr>
          </w:p>
        </w:tc>
        <w:tc>
          <w:tcPr>
            <w:tcW w:w="936" w:type="dxa"/>
            <w:shd w:val="clear" w:color="auto" w:fill="E7E6E6"/>
          </w:tcPr>
          <w:p w14:paraId="4CCCED3A" w14:textId="77777777" w:rsidR="001C332B" w:rsidRPr="005F5C5A" w:rsidRDefault="001C332B" w:rsidP="006E6B76">
            <w:pPr>
              <w:jc w:val="center"/>
              <w:rPr>
                <w:sz w:val="20"/>
                <w:szCs w:val="22"/>
              </w:rPr>
            </w:pPr>
          </w:p>
        </w:tc>
      </w:tr>
      <w:tr w:rsidR="001C332B" w14:paraId="1817C37A" w14:textId="77777777" w:rsidTr="006E6B76">
        <w:trPr>
          <w:trHeight w:val="113"/>
        </w:trPr>
        <w:tc>
          <w:tcPr>
            <w:tcW w:w="1276" w:type="dxa"/>
            <w:vMerge/>
            <w:shd w:val="clear" w:color="auto" w:fill="FFFFFF"/>
          </w:tcPr>
          <w:p w14:paraId="11189F67" w14:textId="77777777" w:rsidR="001C332B" w:rsidRDefault="001C332B" w:rsidP="006E6B76">
            <w:pPr>
              <w:widowControl w:val="0"/>
              <w:rPr>
                <w:sz w:val="22"/>
                <w:szCs w:val="22"/>
              </w:rPr>
            </w:pPr>
          </w:p>
        </w:tc>
        <w:tc>
          <w:tcPr>
            <w:tcW w:w="1134" w:type="dxa"/>
            <w:shd w:val="clear" w:color="auto" w:fill="E7E6E6"/>
          </w:tcPr>
          <w:p w14:paraId="78A7F6F9" w14:textId="77777777" w:rsidR="001C332B" w:rsidRDefault="008352E7" w:rsidP="006E6B76">
            <w:pPr>
              <w:rPr>
                <w:b/>
                <w:sz w:val="22"/>
                <w:szCs w:val="22"/>
              </w:rPr>
            </w:pPr>
            <w:r>
              <w:rPr>
                <w:b/>
                <w:sz w:val="22"/>
                <w:szCs w:val="22"/>
              </w:rPr>
              <w:t>Der p 10</w:t>
            </w:r>
          </w:p>
        </w:tc>
        <w:tc>
          <w:tcPr>
            <w:tcW w:w="851" w:type="dxa"/>
            <w:shd w:val="clear" w:color="auto" w:fill="FFFFFF"/>
          </w:tcPr>
          <w:p w14:paraId="5EBAB660" w14:textId="77777777" w:rsidR="001C332B" w:rsidRPr="005F5C5A" w:rsidRDefault="008352E7" w:rsidP="006E6B76">
            <w:pPr>
              <w:jc w:val="center"/>
              <w:rPr>
                <w:sz w:val="20"/>
                <w:szCs w:val="22"/>
              </w:rPr>
            </w:pPr>
            <w:r w:rsidRPr="005F5C5A">
              <w:rPr>
                <w:sz w:val="20"/>
                <w:szCs w:val="22"/>
              </w:rPr>
              <w:t>0%</w:t>
            </w:r>
          </w:p>
        </w:tc>
        <w:tc>
          <w:tcPr>
            <w:tcW w:w="992" w:type="dxa"/>
            <w:shd w:val="clear" w:color="auto" w:fill="FFFFFF"/>
          </w:tcPr>
          <w:p w14:paraId="3BF36DE5" w14:textId="77777777" w:rsidR="001C332B" w:rsidRPr="005F5C5A" w:rsidRDefault="008352E7" w:rsidP="006E6B76">
            <w:pPr>
              <w:jc w:val="center"/>
              <w:rPr>
                <w:sz w:val="20"/>
                <w:szCs w:val="22"/>
              </w:rPr>
            </w:pPr>
            <w:r w:rsidRPr="005F5C5A">
              <w:rPr>
                <w:sz w:val="20"/>
                <w:szCs w:val="22"/>
              </w:rPr>
              <w:t>0%</w:t>
            </w:r>
          </w:p>
        </w:tc>
        <w:tc>
          <w:tcPr>
            <w:tcW w:w="859" w:type="dxa"/>
            <w:shd w:val="clear" w:color="auto" w:fill="E7E6E6"/>
          </w:tcPr>
          <w:p w14:paraId="04CBCF0C" w14:textId="77777777" w:rsidR="001C332B" w:rsidRPr="005F5C5A" w:rsidRDefault="001C332B" w:rsidP="006E6B76">
            <w:pPr>
              <w:jc w:val="center"/>
              <w:rPr>
                <w:sz w:val="20"/>
                <w:szCs w:val="22"/>
              </w:rPr>
            </w:pPr>
          </w:p>
        </w:tc>
        <w:tc>
          <w:tcPr>
            <w:tcW w:w="960" w:type="dxa"/>
            <w:shd w:val="clear" w:color="auto" w:fill="E7E6E6"/>
          </w:tcPr>
          <w:p w14:paraId="19D2C592" w14:textId="77777777" w:rsidR="001C332B" w:rsidRPr="005F5C5A" w:rsidRDefault="001C332B" w:rsidP="006E6B76">
            <w:pPr>
              <w:jc w:val="center"/>
              <w:rPr>
                <w:sz w:val="20"/>
                <w:szCs w:val="22"/>
              </w:rPr>
            </w:pPr>
          </w:p>
        </w:tc>
        <w:tc>
          <w:tcPr>
            <w:tcW w:w="945" w:type="dxa"/>
            <w:shd w:val="clear" w:color="auto" w:fill="E7E6E6"/>
          </w:tcPr>
          <w:p w14:paraId="45F22D15" w14:textId="77777777" w:rsidR="001C332B" w:rsidRPr="005F5C5A" w:rsidRDefault="001C332B" w:rsidP="006E6B76">
            <w:pPr>
              <w:jc w:val="center"/>
              <w:rPr>
                <w:sz w:val="20"/>
                <w:szCs w:val="22"/>
              </w:rPr>
            </w:pPr>
          </w:p>
        </w:tc>
        <w:tc>
          <w:tcPr>
            <w:tcW w:w="886" w:type="dxa"/>
            <w:shd w:val="clear" w:color="auto" w:fill="FFFFFF"/>
          </w:tcPr>
          <w:p w14:paraId="76B85D8F" w14:textId="77777777" w:rsidR="001C332B" w:rsidRPr="005F5C5A" w:rsidRDefault="008352E7" w:rsidP="006E6B76">
            <w:pPr>
              <w:jc w:val="center"/>
              <w:rPr>
                <w:sz w:val="20"/>
                <w:szCs w:val="22"/>
              </w:rPr>
            </w:pPr>
            <w:r w:rsidRPr="005F5C5A">
              <w:rPr>
                <w:sz w:val="20"/>
                <w:szCs w:val="22"/>
              </w:rPr>
              <w:t>10%</w:t>
            </w:r>
          </w:p>
        </w:tc>
        <w:tc>
          <w:tcPr>
            <w:tcW w:w="1028" w:type="dxa"/>
            <w:shd w:val="clear" w:color="auto" w:fill="FFFFFF"/>
          </w:tcPr>
          <w:p w14:paraId="19EA3C79" w14:textId="77777777" w:rsidR="001C332B" w:rsidRPr="005F5C5A" w:rsidRDefault="008352E7" w:rsidP="006E6B76">
            <w:pPr>
              <w:jc w:val="center"/>
              <w:rPr>
                <w:sz w:val="20"/>
                <w:szCs w:val="22"/>
              </w:rPr>
            </w:pPr>
            <w:r w:rsidRPr="005F5C5A">
              <w:rPr>
                <w:sz w:val="20"/>
                <w:szCs w:val="22"/>
              </w:rPr>
              <w:t>0%</w:t>
            </w:r>
          </w:p>
        </w:tc>
        <w:tc>
          <w:tcPr>
            <w:tcW w:w="936" w:type="dxa"/>
            <w:shd w:val="clear" w:color="auto" w:fill="FFFFFF"/>
          </w:tcPr>
          <w:p w14:paraId="4A1EBBCF" w14:textId="77777777" w:rsidR="001C332B" w:rsidRPr="005F5C5A" w:rsidRDefault="008352E7" w:rsidP="006E6B76">
            <w:pPr>
              <w:jc w:val="center"/>
              <w:rPr>
                <w:sz w:val="20"/>
                <w:szCs w:val="22"/>
              </w:rPr>
            </w:pPr>
            <w:r w:rsidRPr="005F5C5A">
              <w:rPr>
                <w:sz w:val="20"/>
                <w:szCs w:val="22"/>
              </w:rPr>
              <w:t>0.000 (0.5)</w:t>
            </w:r>
          </w:p>
        </w:tc>
      </w:tr>
      <w:tr w:rsidR="001C332B" w14:paraId="75231E7A" w14:textId="77777777" w:rsidTr="006E6B76">
        <w:trPr>
          <w:trHeight w:val="113"/>
        </w:trPr>
        <w:tc>
          <w:tcPr>
            <w:tcW w:w="1276" w:type="dxa"/>
            <w:vMerge/>
            <w:shd w:val="clear" w:color="auto" w:fill="FFFFFF"/>
          </w:tcPr>
          <w:p w14:paraId="62B2D98A" w14:textId="77777777" w:rsidR="001C332B" w:rsidRDefault="001C332B" w:rsidP="006E6B76">
            <w:pPr>
              <w:widowControl w:val="0"/>
              <w:rPr>
                <w:sz w:val="22"/>
                <w:szCs w:val="22"/>
              </w:rPr>
            </w:pPr>
          </w:p>
        </w:tc>
        <w:tc>
          <w:tcPr>
            <w:tcW w:w="1134" w:type="dxa"/>
            <w:shd w:val="clear" w:color="auto" w:fill="E7E6E6"/>
          </w:tcPr>
          <w:p w14:paraId="02506225" w14:textId="77777777" w:rsidR="001C332B" w:rsidRDefault="008352E7" w:rsidP="006E6B76">
            <w:pPr>
              <w:rPr>
                <w:b/>
                <w:sz w:val="22"/>
                <w:szCs w:val="22"/>
              </w:rPr>
            </w:pPr>
            <w:r>
              <w:rPr>
                <w:b/>
                <w:sz w:val="22"/>
                <w:szCs w:val="22"/>
              </w:rPr>
              <w:t>Der p 11</w:t>
            </w:r>
          </w:p>
        </w:tc>
        <w:tc>
          <w:tcPr>
            <w:tcW w:w="851" w:type="dxa"/>
            <w:shd w:val="clear" w:color="auto" w:fill="FFFFFF"/>
          </w:tcPr>
          <w:p w14:paraId="60D1E534" w14:textId="77777777" w:rsidR="001C332B" w:rsidRPr="005F5C5A" w:rsidRDefault="008352E7" w:rsidP="006E6B76">
            <w:pPr>
              <w:jc w:val="center"/>
              <w:rPr>
                <w:sz w:val="20"/>
                <w:szCs w:val="22"/>
              </w:rPr>
            </w:pPr>
            <w:r w:rsidRPr="005F5C5A">
              <w:rPr>
                <w:sz w:val="20"/>
                <w:szCs w:val="22"/>
              </w:rPr>
              <w:t>0%</w:t>
            </w:r>
          </w:p>
        </w:tc>
        <w:tc>
          <w:tcPr>
            <w:tcW w:w="992" w:type="dxa"/>
            <w:shd w:val="clear" w:color="auto" w:fill="FFFFFF"/>
          </w:tcPr>
          <w:p w14:paraId="6F52EBD5" w14:textId="77777777" w:rsidR="001C332B" w:rsidRPr="005F5C5A" w:rsidRDefault="008352E7" w:rsidP="006E6B76">
            <w:pPr>
              <w:jc w:val="center"/>
              <w:rPr>
                <w:sz w:val="20"/>
                <w:szCs w:val="22"/>
              </w:rPr>
            </w:pPr>
            <w:r w:rsidRPr="005F5C5A">
              <w:rPr>
                <w:sz w:val="20"/>
                <w:szCs w:val="22"/>
              </w:rPr>
              <w:t>0%</w:t>
            </w:r>
          </w:p>
        </w:tc>
        <w:tc>
          <w:tcPr>
            <w:tcW w:w="859" w:type="dxa"/>
            <w:shd w:val="clear" w:color="auto" w:fill="E7E6E6"/>
          </w:tcPr>
          <w:p w14:paraId="5B2E4975" w14:textId="77777777" w:rsidR="001C332B" w:rsidRPr="005F5C5A" w:rsidRDefault="001C332B" w:rsidP="006E6B76">
            <w:pPr>
              <w:jc w:val="center"/>
              <w:rPr>
                <w:sz w:val="20"/>
                <w:szCs w:val="22"/>
              </w:rPr>
            </w:pPr>
          </w:p>
        </w:tc>
        <w:tc>
          <w:tcPr>
            <w:tcW w:w="960" w:type="dxa"/>
            <w:shd w:val="clear" w:color="auto" w:fill="E7E6E6"/>
          </w:tcPr>
          <w:p w14:paraId="19C4E9BE" w14:textId="77777777" w:rsidR="001C332B" w:rsidRPr="005F5C5A" w:rsidRDefault="001C332B" w:rsidP="006E6B76">
            <w:pPr>
              <w:jc w:val="center"/>
              <w:rPr>
                <w:sz w:val="20"/>
                <w:szCs w:val="22"/>
              </w:rPr>
            </w:pPr>
          </w:p>
        </w:tc>
        <w:tc>
          <w:tcPr>
            <w:tcW w:w="945" w:type="dxa"/>
            <w:shd w:val="clear" w:color="auto" w:fill="E7E6E6"/>
          </w:tcPr>
          <w:p w14:paraId="3247E881" w14:textId="77777777" w:rsidR="001C332B" w:rsidRPr="005F5C5A" w:rsidRDefault="001C332B" w:rsidP="006E6B76">
            <w:pPr>
              <w:jc w:val="center"/>
              <w:rPr>
                <w:sz w:val="20"/>
                <w:szCs w:val="22"/>
              </w:rPr>
            </w:pPr>
          </w:p>
        </w:tc>
        <w:tc>
          <w:tcPr>
            <w:tcW w:w="886" w:type="dxa"/>
            <w:shd w:val="clear" w:color="auto" w:fill="E7E6E6"/>
          </w:tcPr>
          <w:p w14:paraId="0BAF6579" w14:textId="77777777" w:rsidR="001C332B" w:rsidRPr="005F5C5A" w:rsidRDefault="001C332B" w:rsidP="006E6B76">
            <w:pPr>
              <w:jc w:val="center"/>
              <w:rPr>
                <w:sz w:val="20"/>
                <w:szCs w:val="22"/>
              </w:rPr>
            </w:pPr>
          </w:p>
        </w:tc>
        <w:tc>
          <w:tcPr>
            <w:tcW w:w="1028" w:type="dxa"/>
            <w:shd w:val="clear" w:color="auto" w:fill="E7E6E6"/>
          </w:tcPr>
          <w:p w14:paraId="62D486CE" w14:textId="77777777" w:rsidR="001C332B" w:rsidRPr="005F5C5A" w:rsidRDefault="001C332B" w:rsidP="006E6B76">
            <w:pPr>
              <w:jc w:val="center"/>
              <w:rPr>
                <w:sz w:val="20"/>
                <w:szCs w:val="22"/>
              </w:rPr>
            </w:pPr>
          </w:p>
        </w:tc>
        <w:tc>
          <w:tcPr>
            <w:tcW w:w="936" w:type="dxa"/>
            <w:shd w:val="clear" w:color="auto" w:fill="E7E6E6"/>
          </w:tcPr>
          <w:p w14:paraId="0E44815A" w14:textId="77777777" w:rsidR="001C332B" w:rsidRPr="005F5C5A" w:rsidRDefault="001C332B" w:rsidP="006E6B76">
            <w:pPr>
              <w:jc w:val="center"/>
              <w:rPr>
                <w:sz w:val="20"/>
                <w:szCs w:val="22"/>
              </w:rPr>
            </w:pPr>
          </w:p>
        </w:tc>
      </w:tr>
      <w:tr w:rsidR="001C332B" w14:paraId="655B955D" w14:textId="77777777" w:rsidTr="006E6B76">
        <w:trPr>
          <w:trHeight w:val="113"/>
        </w:trPr>
        <w:tc>
          <w:tcPr>
            <w:tcW w:w="1276" w:type="dxa"/>
            <w:vMerge/>
            <w:shd w:val="clear" w:color="auto" w:fill="FFFFFF"/>
          </w:tcPr>
          <w:p w14:paraId="5F5524C8" w14:textId="77777777" w:rsidR="001C332B" w:rsidRDefault="001C332B" w:rsidP="006E6B76">
            <w:pPr>
              <w:widowControl w:val="0"/>
              <w:rPr>
                <w:sz w:val="22"/>
                <w:szCs w:val="22"/>
              </w:rPr>
            </w:pPr>
          </w:p>
        </w:tc>
        <w:tc>
          <w:tcPr>
            <w:tcW w:w="1134" w:type="dxa"/>
            <w:shd w:val="clear" w:color="auto" w:fill="E7E6E6"/>
          </w:tcPr>
          <w:p w14:paraId="6070ED3D" w14:textId="77777777" w:rsidR="001C332B" w:rsidRDefault="008352E7" w:rsidP="006E6B76">
            <w:pPr>
              <w:rPr>
                <w:b/>
                <w:sz w:val="22"/>
                <w:szCs w:val="22"/>
              </w:rPr>
            </w:pPr>
            <w:r>
              <w:rPr>
                <w:b/>
                <w:sz w:val="22"/>
                <w:szCs w:val="22"/>
              </w:rPr>
              <w:t>Der p 20</w:t>
            </w:r>
          </w:p>
        </w:tc>
        <w:tc>
          <w:tcPr>
            <w:tcW w:w="851" w:type="dxa"/>
            <w:shd w:val="clear" w:color="auto" w:fill="FFFFFF"/>
          </w:tcPr>
          <w:p w14:paraId="674A1C2B" w14:textId="77777777" w:rsidR="001C332B" w:rsidRPr="005F5C5A" w:rsidRDefault="008352E7" w:rsidP="006E6B76">
            <w:pPr>
              <w:jc w:val="center"/>
              <w:rPr>
                <w:sz w:val="20"/>
                <w:szCs w:val="22"/>
              </w:rPr>
            </w:pPr>
            <w:r w:rsidRPr="005F5C5A">
              <w:rPr>
                <w:sz w:val="20"/>
                <w:szCs w:val="22"/>
              </w:rPr>
              <w:t>0%</w:t>
            </w:r>
          </w:p>
        </w:tc>
        <w:tc>
          <w:tcPr>
            <w:tcW w:w="992" w:type="dxa"/>
            <w:shd w:val="clear" w:color="auto" w:fill="FFFFFF"/>
          </w:tcPr>
          <w:p w14:paraId="212783C0" w14:textId="77777777" w:rsidR="001C332B" w:rsidRPr="005F5C5A" w:rsidRDefault="008352E7" w:rsidP="006E6B76">
            <w:pPr>
              <w:jc w:val="center"/>
              <w:rPr>
                <w:sz w:val="20"/>
                <w:szCs w:val="22"/>
              </w:rPr>
            </w:pPr>
            <w:r w:rsidRPr="005F5C5A">
              <w:rPr>
                <w:sz w:val="20"/>
                <w:szCs w:val="22"/>
              </w:rPr>
              <w:t>0%</w:t>
            </w:r>
          </w:p>
        </w:tc>
        <w:tc>
          <w:tcPr>
            <w:tcW w:w="859" w:type="dxa"/>
            <w:shd w:val="clear" w:color="auto" w:fill="E7E6E6"/>
          </w:tcPr>
          <w:p w14:paraId="03F62655" w14:textId="77777777" w:rsidR="001C332B" w:rsidRPr="005F5C5A" w:rsidRDefault="001C332B" w:rsidP="006E6B76">
            <w:pPr>
              <w:jc w:val="center"/>
              <w:rPr>
                <w:sz w:val="20"/>
                <w:szCs w:val="22"/>
              </w:rPr>
            </w:pPr>
          </w:p>
        </w:tc>
        <w:tc>
          <w:tcPr>
            <w:tcW w:w="960" w:type="dxa"/>
            <w:shd w:val="clear" w:color="auto" w:fill="E7E6E6"/>
          </w:tcPr>
          <w:p w14:paraId="15294C98" w14:textId="77777777" w:rsidR="001C332B" w:rsidRPr="005F5C5A" w:rsidRDefault="001C332B" w:rsidP="006E6B76">
            <w:pPr>
              <w:jc w:val="center"/>
              <w:rPr>
                <w:sz w:val="20"/>
                <w:szCs w:val="22"/>
              </w:rPr>
            </w:pPr>
          </w:p>
        </w:tc>
        <w:tc>
          <w:tcPr>
            <w:tcW w:w="945" w:type="dxa"/>
            <w:shd w:val="clear" w:color="auto" w:fill="E7E6E6"/>
          </w:tcPr>
          <w:p w14:paraId="6C6C2228" w14:textId="77777777" w:rsidR="001C332B" w:rsidRPr="005F5C5A" w:rsidRDefault="001C332B" w:rsidP="006E6B76">
            <w:pPr>
              <w:jc w:val="center"/>
              <w:rPr>
                <w:sz w:val="20"/>
                <w:szCs w:val="22"/>
              </w:rPr>
            </w:pPr>
          </w:p>
        </w:tc>
        <w:tc>
          <w:tcPr>
            <w:tcW w:w="886" w:type="dxa"/>
            <w:shd w:val="clear" w:color="auto" w:fill="E7E6E6"/>
          </w:tcPr>
          <w:p w14:paraId="0B67488D" w14:textId="77777777" w:rsidR="001C332B" w:rsidRPr="005F5C5A" w:rsidRDefault="001C332B" w:rsidP="006E6B76">
            <w:pPr>
              <w:jc w:val="center"/>
              <w:rPr>
                <w:sz w:val="20"/>
                <w:szCs w:val="22"/>
              </w:rPr>
            </w:pPr>
          </w:p>
        </w:tc>
        <w:tc>
          <w:tcPr>
            <w:tcW w:w="1028" w:type="dxa"/>
            <w:shd w:val="clear" w:color="auto" w:fill="E7E6E6"/>
          </w:tcPr>
          <w:p w14:paraId="145711FB" w14:textId="77777777" w:rsidR="001C332B" w:rsidRPr="005F5C5A" w:rsidRDefault="001C332B" w:rsidP="006E6B76">
            <w:pPr>
              <w:jc w:val="center"/>
              <w:rPr>
                <w:sz w:val="20"/>
                <w:szCs w:val="22"/>
              </w:rPr>
            </w:pPr>
          </w:p>
        </w:tc>
        <w:tc>
          <w:tcPr>
            <w:tcW w:w="936" w:type="dxa"/>
            <w:shd w:val="clear" w:color="auto" w:fill="E7E6E6"/>
          </w:tcPr>
          <w:p w14:paraId="6B598BF8" w14:textId="77777777" w:rsidR="001C332B" w:rsidRPr="005F5C5A" w:rsidRDefault="001C332B" w:rsidP="006E6B76">
            <w:pPr>
              <w:jc w:val="center"/>
              <w:rPr>
                <w:sz w:val="20"/>
                <w:szCs w:val="22"/>
              </w:rPr>
            </w:pPr>
          </w:p>
        </w:tc>
      </w:tr>
      <w:tr w:rsidR="001C332B" w14:paraId="63D4DA26" w14:textId="77777777" w:rsidTr="006E6B76">
        <w:trPr>
          <w:trHeight w:val="113"/>
        </w:trPr>
        <w:tc>
          <w:tcPr>
            <w:tcW w:w="1276" w:type="dxa"/>
            <w:vMerge/>
            <w:shd w:val="clear" w:color="auto" w:fill="FFFFFF"/>
          </w:tcPr>
          <w:p w14:paraId="057DFCC3" w14:textId="77777777" w:rsidR="001C332B" w:rsidRDefault="001C332B" w:rsidP="006E6B76">
            <w:pPr>
              <w:widowControl w:val="0"/>
              <w:rPr>
                <w:sz w:val="22"/>
                <w:szCs w:val="22"/>
              </w:rPr>
            </w:pPr>
          </w:p>
        </w:tc>
        <w:tc>
          <w:tcPr>
            <w:tcW w:w="1134" w:type="dxa"/>
            <w:shd w:val="clear" w:color="auto" w:fill="E7E6E6"/>
          </w:tcPr>
          <w:p w14:paraId="4D566E80" w14:textId="77777777" w:rsidR="001C332B" w:rsidRDefault="008352E7" w:rsidP="006E6B76">
            <w:pPr>
              <w:rPr>
                <w:b/>
                <w:sz w:val="22"/>
                <w:szCs w:val="22"/>
              </w:rPr>
            </w:pPr>
            <w:r>
              <w:rPr>
                <w:b/>
                <w:sz w:val="22"/>
                <w:szCs w:val="22"/>
              </w:rPr>
              <w:t>Der p 21</w:t>
            </w:r>
          </w:p>
        </w:tc>
        <w:tc>
          <w:tcPr>
            <w:tcW w:w="851" w:type="dxa"/>
            <w:shd w:val="clear" w:color="auto" w:fill="FFFFFF"/>
          </w:tcPr>
          <w:p w14:paraId="07D9FE0B" w14:textId="77777777" w:rsidR="001C332B" w:rsidRPr="005F5C5A" w:rsidRDefault="008352E7" w:rsidP="006E6B76">
            <w:pPr>
              <w:jc w:val="center"/>
              <w:rPr>
                <w:sz w:val="20"/>
                <w:szCs w:val="22"/>
              </w:rPr>
            </w:pPr>
            <w:r w:rsidRPr="005F5C5A">
              <w:rPr>
                <w:sz w:val="20"/>
                <w:szCs w:val="22"/>
              </w:rPr>
              <w:t>35%</w:t>
            </w:r>
          </w:p>
        </w:tc>
        <w:tc>
          <w:tcPr>
            <w:tcW w:w="992" w:type="dxa"/>
            <w:shd w:val="clear" w:color="auto" w:fill="FFFFFF"/>
          </w:tcPr>
          <w:p w14:paraId="50F3A1CB" w14:textId="77777777" w:rsidR="001C332B" w:rsidRPr="005F5C5A" w:rsidRDefault="008352E7" w:rsidP="006E6B76">
            <w:pPr>
              <w:jc w:val="center"/>
              <w:rPr>
                <w:sz w:val="20"/>
                <w:szCs w:val="22"/>
              </w:rPr>
            </w:pPr>
            <w:r w:rsidRPr="005F5C5A">
              <w:rPr>
                <w:sz w:val="20"/>
                <w:szCs w:val="22"/>
              </w:rPr>
              <w:t>0%</w:t>
            </w:r>
          </w:p>
        </w:tc>
        <w:tc>
          <w:tcPr>
            <w:tcW w:w="859" w:type="dxa"/>
            <w:shd w:val="clear" w:color="auto" w:fill="E7E6E6"/>
          </w:tcPr>
          <w:p w14:paraId="2D92D29F" w14:textId="77777777" w:rsidR="001C332B" w:rsidRPr="005F5C5A" w:rsidRDefault="001C332B" w:rsidP="006E6B76">
            <w:pPr>
              <w:jc w:val="center"/>
              <w:rPr>
                <w:sz w:val="20"/>
                <w:szCs w:val="22"/>
              </w:rPr>
            </w:pPr>
          </w:p>
        </w:tc>
        <w:tc>
          <w:tcPr>
            <w:tcW w:w="960" w:type="dxa"/>
            <w:shd w:val="clear" w:color="auto" w:fill="E7E6E6"/>
          </w:tcPr>
          <w:p w14:paraId="74A6EA7C" w14:textId="77777777" w:rsidR="001C332B" w:rsidRPr="005F5C5A" w:rsidRDefault="001C332B" w:rsidP="006E6B76">
            <w:pPr>
              <w:jc w:val="center"/>
              <w:rPr>
                <w:sz w:val="20"/>
                <w:szCs w:val="22"/>
              </w:rPr>
            </w:pPr>
          </w:p>
        </w:tc>
        <w:tc>
          <w:tcPr>
            <w:tcW w:w="945" w:type="dxa"/>
            <w:shd w:val="clear" w:color="auto" w:fill="E7E6E6"/>
          </w:tcPr>
          <w:p w14:paraId="427E9740" w14:textId="77777777" w:rsidR="001C332B" w:rsidRPr="005F5C5A" w:rsidRDefault="001C332B" w:rsidP="006E6B76">
            <w:pPr>
              <w:jc w:val="center"/>
              <w:rPr>
                <w:sz w:val="20"/>
                <w:szCs w:val="22"/>
              </w:rPr>
            </w:pPr>
          </w:p>
        </w:tc>
        <w:tc>
          <w:tcPr>
            <w:tcW w:w="886" w:type="dxa"/>
            <w:shd w:val="clear" w:color="auto" w:fill="E7E6E6"/>
          </w:tcPr>
          <w:p w14:paraId="0D7D4400" w14:textId="77777777" w:rsidR="001C332B" w:rsidRPr="005F5C5A" w:rsidRDefault="001C332B" w:rsidP="006E6B76">
            <w:pPr>
              <w:jc w:val="center"/>
              <w:rPr>
                <w:sz w:val="20"/>
                <w:szCs w:val="22"/>
              </w:rPr>
            </w:pPr>
          </w:p>
        </w:tc>
        <w:tc>
          <w:tcPr>
            <w:tcW w:w="1028" w:type="dxa"/>
            <w:shd w:val="clear" w:color="auto" w:fill="E7E6E6"/>
          </w:tcPr>
          <w:p w14:paraId="19A66DFF" w14:textId="77777777" w:rsidR="001C332B" w:rsidRPr="005F5C5A" w:rsidRDefault="001C332B" w:rsidP="006E6B76">
            <w:pPr>
              <w:jc w:val="center"/>
              <w:rPr>
                <w:sz w:val="20"/>
                <w:szCs w:val="22"/>
              </w:rPr>
            </w:pPr>
          </w:p>
        </w:tc>
        <w:tc>
          <w:tcPr>
            <w:tcW w:w="936" w:type="dxa"/>
            <w:shd w:val="clear" w:color="auto" w:fill="E7E6E6"/>
          </w:tcPr>
          <w:p w14:paraId="20D699BE" w14:textId="77777777" w:rsidR="001C332B" w:rsidRPr="005F5C5A" w:rsidRDefault="001C332B" w:rsidP="006E6B76">
            <w:pPr>
              <w:jc w:val="center"/>
              <w:rPr>
                <w:sz w:val="20"/>
                <w:szCs w:val="22"/>
              </w:rPr>
            </w:pPr>
          </w:p>
        </w:tc>
      </w:tr>
      <w:tr w:rsidR="001C332B" w14:paraId="5C85AB9C" w14:textId="77777777" w:rsidTr="006E6B76">
        <w:trPr>
          <w:trHeight w:val="113"/>
        </w:trPr>
        <w:tc>
          <w:tcPr>
            <w:tcW w:w="1276" w:type="dxa"/>
            <w:vMerge/>
            <w:shd w:val="clear" w:color="auto" w:fill="FFFFFF"/>
          </w:tcPr>
          <w:p w14:paraId="77C1D29F" w14:textId="77777777" w:rsidR="001C332B" w:rsidRDefault="001C332B" w:rsidP="006E6B76">
            <w:pPr>
              <w:widowControl w:val="0"/>
              <w:rPr>
                <w:sz w:val="22"/>
                <w:szCs w:val="22"/>
              </w:rPr>
            </w:pPr>
          </w:p>
        </w:tc>
        <w:tc>
          <w:tcPr>
            <w:tcW w:w="1134" w:type="dxa"/>
            <w:shd w:val="clear" w:color="auto" w:fill="E7E6E6"/>
          </w:tcPr>
          <w:p w14:paraId="61BA1066" w14:textId="77777777" w:rsidR="001C332B" w:rsidRDefault="008352E7" w:rsidP="006E6B76">
            <w:pPr>
              <w:rPr>
                <w:b/>
                <w:sz w:val="22"/>
                <w:szCs w:val="22"/>
              </w:rPr>
            </w:pPr>
            <w:r>
              <w:rPr>
                <w:b/>
                <w:sz w:val="22"/>
                <w:szCs w:val="22"/>
              </w:rPr>
              <w:t>Der p 23</w:t>
            </w:r>
          </w:p>
        </w:tc>
        <w:tc>
          <w:tcPr>
            <w:tcW w:w="851" w:type="dxa"/>
            <w:shd w:val="clear" w:color="auto" w:fill="FFFFFF"/>
          </w:tcPr>
          <w:p w14:paraId="3A1415F6" w14:textId="77777777" w:rsidR="001C332B" w:rsidRPr="005F5C5A" w:rsidRDefault="008352E7" w:rsidP="006E6B76">
            <w:pPr>
              <w:jc w:val="center"/>
              <w:rPr>
                <w:sz w:val="20"/>
                <w:szCs w:val="22"/>
              </w:rPr>
            </w:pPr>
            <w:r w:rsidRPr="005F5C5A">
              <w:rPr>
                <w:sz w:val="20"/>
                <w:szCs w:val="22"/>
              </w:rPr>
              <w:t>85%</w:t>
            </w:r>
          </w:p>
        </w:tc>
        <w:tc>
          <w:tcPr>
            <w:tcW w:w="992" w:type="dxa"/>
            <w:shd w:val="clear" w:color="auto" w:fill="FFFFFF"/>
          </w:tcPr>
          <w:p w14:paraId="2F9B5057" w14:textId="77777777" w:rsidR="001C332B" w:rsidRPr="005F5C5A" w:rsidRDefault="008352E7" w:rsidP="006E6B76">
            <w:pPr>
              <w:jc w:val="center"/>
              <w:rPr>
                <w:sz w:val="20"/>
                <w:szCs w:val="22"/>
              </w:rPr>
            </w:pPr>
            <w:r w:rsidRPr="005F5C5A">
              <w:rPr>
                <w:sz w:val="20"/>
                <w:szCs w:val="22"/>
              </w:rPr>
              <w:t>0%</w:t>
            </w:r>
          </w:p>
        </w:tc>
        <w:tc>
          <w:tcPr>
            <w:tcW w:w="859" w:type="dxa"/>
            <w:shd w:val="clear" w:color="auto" w:fill="FFFFFF"/>
          </w:tcPr>
          <w:p w14:paraId="7465E881" w14:textId="77777777" w:rsidR="001C332B" w:rsidRPr="005F5C5A" w:rsidRDefault="008352E7" w:rsidP="006E6B76">
            <w:pPr>
              <w:jc w:val="center"/>
              <w:rPr>
                <w:sz w:val="20"/>
                <w:szCs w:val="22"/>
              </w:rPr>
            </w:pPr>
            <w:r w:rsidRPr="005F5C5A">
              <w:rPr>
                <w:sz w:val="20"/>
                <w:szCs w:val="22"/>
              </w:rPr>
              <w:t>70%</w:t>
            </w:r>
          </w:p>
        </w:tc>
        <w:tc>
          <w:tcPr>
            <w:tcW w:w="960" w:type="dxa"/>
            <w:shd w:val="clear" w:color="auto" w:fill="FFFFFF"/>
          </w:tcPr>
          <w:p w14:paraId="049580F9" w14:textId="77777777" w:rsidR="001C332B" w:rsidRPr="005F5C5A" w:rsidRDefault="008352E7" w:rsidP="006E6B76">
            <w:pPr>
              <w:jc w:val="center"/>
              <w:rPr>
                <w:sz w:val="20"/>
                <w:szCs w:val="22"/>
              </w:rPr>
            </w:pPr>
            <w:r w:rsidRPr="005F5C5A">
              <w:rPr>
                <w:sz w:val="20"/>
                <w:szCs w:val="22"/>
              </w:rPr>
              <w:t>4.7%</w:t>
            </w:r>
          </w:p>
        </w:tc>
        <w:tc>
          <w:tcPr>
            <w:tcW w:w="945" w:type="dxa"/>
          </w:tcPr>
          <w:p w14:paraId="76817758" w14:textId="77777777" w:rsidR="001C332B" w:rsidRPr="005F5C5A" w:rsidRDefault="008352E7" w:rsidP="006E6B76">
            <w:pPr>
              <w:jc w:val="center"/>
              <w:rPr>
                <w:sz w:val="20"/>
                <w:szCs w:val="22"/>
              </w:rPr>
            </w:pPr>
            <w:r w:rsidRPr="005F5C5A">
              <w:rPr>
                <w:sz w:val="20"/>
                <w:szCs w:val="22"/>
              </w:rPr>
              <w:t>0.842 (1)</w:t>
            </w:r>
          </w:p>
        </w:tc>
        <w:tc>
          <w:tcPr>
            <w:tcW w:w="886" w:type="dxa"/>
            <w:shd w:val="clear" w:color="auto" w:fill="E7E6E6"/>
          </w:tcPr>
          <w:p w14:paraId="5FCC4F39" w14:textId="77777777" w:rsidR="001C332B" w:rsidRPr="005F5C5A" w:rsidRDefault="001C332B" w:rsidP="006E6B76">
            <w:pPr>
              <w:jc w:val="center"/>
              <w:rPr>
                <w:sz w:val="20"/>
                <w:szCs w:val="22"/>
              </w:rPr>
            </w:pPr>
          </w:p>
        </w:tc>
        <w:tc>
          <w:tcPr>
            <w:tcW w:w="1028" w:type="dxa"/>
            <w:shd w:val="clear" w:color="auto" w:fill="E7E6E6"/>
          </w:tcPr>
          <w:p w14:paraId="3C08190C" w14:textId="77777777" w:rsidR="001C332B" w:rsidRPr="005F5C5A" w:rsidRDefault="001C332B" w:rsidP="006E6B76">
            <w:pPr>
              <w:jc w:val="center"/>
              <w:rPr>
                <w:sz w:val="20"/>
                <w:szCs w:val="22"/>
              </w:rPr>
            </w:pPr>
          </w:p>
        </w:tc>
        <w:tc>
          <w:tcPr>
            <w:tcW w:w="936" w:type="dxa"/>
            <w:shd w:val="clear" w:color="auto" w:fill="E7E6E6"/>
          </w:tcPr>
          <w:p w14:paraId="1DB5A4F2" w14:textId="77777777" w:rsidR="001C332B" w:rsidRPr="005F5C5A" w:rsidRDefault="001C332B" w:rsidP="006E6B76">
            <w:pPr>
              <w:jc w:val="center"/>
              <w:rPr>
                <w:sz w:val="20"/>
                <w:szCs w:val="22"/>
              </w:rPr>
            </w:pPr>
          </w:p>
        </w:tc>
      </w:tr>
      <w:tr w:rsidR="001C332B" w14:paraId="1D62A51F" w14:textId="77777777" w:rsidTr="006E6B76">
        <w:trPr>
          <w:trHeight w:val="420"/>
        </w:trPr>
        <w:tc>
          <w:tcPr>
            <w:tcW w:w="1276" w:type="dxa"/>
            <w:vMerge w:val="restart"/>
            <w:shd w:val="clear" w:color="auto" w:fill="FFFFFF"/>
          </w:tcPr>
          <w:p w14:paraId="0F155565" w14:textId="77777777" w:rsidR="001C332B" w:rsidRDefault="008352E7" w:rsidP="006E6B76">
            <w:pPr>
              <w:rPr>
                <w:b/>
                <w:sz w:val="18"/>
                <w:szCs w:val="18"/>
              </w:rPr>
            </w:pPr>
            <w:r>
              <w:rPr>
                <w:b/>
                <w:sz w:val="18"/>
                <w:szCs w:val="18"/>
              </w:rPr>
              <w:t>Alternaria</w:t>
            </w:r>
          </w:p>
        </w:tc>
        <w:tc>
          <w:tcPr>
            <w:tcW w:w="1134" w:type="dxa"/>
            <w:shd w:val="clear" w:color="auto" w:fill="E7E6E6"/>
          </w:tcPr>
          <w:p w14:paraId="4079AF60" w14:textId="77777777" w:rsidR="001C332B" w:rsidRDefault="008352E7" w:rsidP="006E6B76">
            <w:pPr>
              <w:rPr>
                <w:b/>
                <w:sz w:val="22"/>
                <w:szCs w:val="22"/>
              </w:rPr>
            </w:pPr>
            <w:r>
              <w:rPr>
                <w:b/>
                <w:sz w:val="22"/>
                <w:szCs w:val="22"/>
              </w:rPr>
              <w:t>Alt a 1</w:t>
            </w:r>
          </w:p>
        </w:tc>
        <w:tc>
          <w:tcPr>
            <w:tcW w:w="851" w:type="dxa"/>
            <w:shd w:val="clear" w:color="auto" w:fill="FFFFFF"/>
          </w:tcPr>
          <w:p w14:paraId="1749CBBF" w14:textId="77777777" w:rsidR="001C332B" w:rsidRPr="005F5C5A" w:rsidRDefault="008352E7" w:rsidP="006E6B76">
            <w:pPr>
              <w:jc w:val="center"/>
              <w:rPr>
                <w:sz w:val="20"/>
                <w:szCs w:val="22"/>
              </w:rPr>
            </w:pPr>
            <w:r w:rsidRPr="005F5C5A">
              <w:rPr>
                <w:sz w:val="20"/>
                <w:szCs w:val="22"/>
              </w:rPr>
              <w:t>88.9%</w:t>
            </w:r>
          </w:p>
        </w:tc>
        <w:tc>
          <w:tcPr>
            <w:tcW w:w="992" w:type="dxa"/>
            <w:shd w:val="clear" w:color="auto" w:fill="FFFFFF"/>
          </w:tcPr>
          <w:p w14:paraId="051A1803" w14:textId="77777777" w:rsidR="001C332B" w:rsidRPr="005F5C5A" w:rsidRDefault="008352E7" w:rsidP="006E6B76">
            <w:pPr>
              <w:jc w:val="center"/>
              <w:rPr>
                <w:sz w:val="20"/>
                <w:szCs w:val="22"/>
              </w:rPr>
            </w:pPr>
            <w:r w:rsidRPr="005F5C5A">
              <w:rPr>
                <w:sz w:val="20"/>
                <w:szCs w:val="22"/>
              </w:rPr>
              <w:t>0%</w:t>
            </w:r>
          </w:p>
        </w:tc>
        <w:tc>
          <w:tcPr>
            <w:tcW w:w="859" w:type="dxa"/>
            <w:shd w:val="clear" w:color="auto" w:fill="FFFFFF"/>
          </w:tcPr>
          <w:p w14:paraId="5517D25A" w14:textId="77777777" w:rsidR="001C332B" w:rsidRPr="005F5C5A" w:rsidRDefault="008352E7" w:rsidP="006E6B76">
            <w:pPr>
              <w:jc w:val="center"/>
              <w:rPr>
                <w:sz w:val="20"/>
                <w:szCs w:val="22"/>
              </w:rPr>
            </w:pPr>
            <w:r w:rsidRPr="005F5C5A">
              <w:rPr>
                <w:sz w:val="20"/>
                <w:szCs w:val="22"/>
              </w:rPr>
              <w:t>100%</w:t>
            </w:r>
          </w:p>
        </w:tc>
        <w:tc>
          <w:tcPr>
            <w:tcW w:w="960" w:type="dxa"/>
            <w:shd w:val="clear" w:color="auto" w:fill="FFFFFF"/>
          </w:tcPr>
          <w:p w14:paraId="0DEDA76E" w14:textId="77777777" w:rsidR="001C332B" w:rsidRPr="005F5C5A" w:rsidRDefault="008352E7" w:rsidP="006E6B76">
            <w:pPr>
              <w:jc w:val="center"/>
              <w:rPr>
                <w:sz w:val="20"/>
                <w:szCs w:val="22"/>
              </w:rPr>
            </w:pPr>
            <w:r w:rsidRPr="005F5C5A">
              <w:rPr>
                <w:sz w:val="20"/>
                <w:szCs w:val="22"/>
              </w:rPr>
              <w:t>0%</w:t>
            </w:r>
          </w:p>
        </w:tc>
        <w:tc>
          <w:tcPr>
            <w:tcW w:w="945" w:type="dxa"/>
            <w:shd w:val="clear" w:color="auto" w:fill="FFFFFF"/>
          </w:tcPr>
          <w:p w14:paraId="713CED8A" w14:textId="77777777" w:rsidR="001C332B" w:rsidRPr="005F5C5A" w:rsidRDefault="008352E7" w:rsidP="006E6B76">
            <w:pPr>
              <w:jc w:val="center"/>
              <w:rPr>
                <w:sz w:val="20"/>
                <w:szCs w:val="22"/>
              </w:rPr>
            </w:pPr>
            <w:r w:rsidRPr="005F5C5A">
              <w:rPr>
                <w:sz w:val="20"/>
                <w:szCs w:val="22"/>
              </w:rPr>
              <w:t>1 (1)</w:t>
            </w:r>
          </w:p>
        </w:tc>
        <w:tc>
          <w:tcPr>
            <w:tcW w:w="886" w:type="dxa"/>
            <w:shd w:val="clear" w:color="auto" w:fill="FFFFFF"/>
          </w:tcPr>
          <w:p w14:paraId="4971CB62" w14:textId="77777777" w:rsidR="001C332B" w:rsidRPr="005F5C5A" w:rsidRDefault="008352E7" w:rsidP="006E6B76">
            <w:pPr>
              <w:jc w:val="center"/>
              <w:rPr>
                <w:sz w:val="20"/>
                <w:szCs w:val="22"/>
              </w:rPr>
            </w:pPr>
            <w:r w:rsidRPr="005F5C5A">
              <w:rPr>
                <w:sz w:val="20"/>
                <w:szCs w:val="22"/>
              </w:rPr>
              <w:t>55.6%</w:t>
            </w:r>
          </w:p>
        </w:tc>
        <w:tc>
          <w:tcPr>
            <w:tcW w:w="1028" w:type="dxa"/>
            <w:shd w:val="clear" w:color="auto" w:fill="FFFFFF"/>
          </w:tcPr>
          <w:p w14:paraId="2D943902" w14:textId="77777777" w:rsidR="001C332B" w:rsidRPr="005F5C5A" w:rsidRDefault="008352E7" w:rsidP="006E6B76">
            <w:pPr>
              <w:jc w:val="center"/>
              <w:rPr>
                <w:sz w:val="20"/>
                <w:szCs w:val="22"/>
              </w:rPr>
            </w:pPr>
            <w:r w:rsidRPr="005F5C5A">
              <w:rPr>
                <w:sz w:val="20"/>
                <w:szCs w:val="22"/>
              </w:rPr>
              <w:t>0%</w:t>
            </w:r>
          </w:p>
        </w:tc>
        <w:tc>
          <w:tcPr>
            <w:tcW w:w="936" w:type="dxa"/>
            <w:shd w:val="clear" w:color="auto" w:fill="FFFFFF"/>
          </w:tcPr>
          <w:p w14:paraId="2A5BC35E" w14:textId="77777777" w:rsidR="001C332B" w:rsidRPr="005F5C5A" w:rsidRDefault="008352E7" w:rsidP="006E6B76">
            <w:pPr>
              <w:jc w:val="center"/>
              <w:rPr>
                <w:b/>
                <w:sz w:val="20"/>
                <w:szCs w:val="22"/>
              </w:rPr>
            </w:pPr>
            <w:r w:rsidRPr="005F5C5A">
              <w:rPr>
                <w:b/>
                <w:sz w:val="20"/>
                <w:szCs w:val="22"/>
              </w:rPr>
              <w:t>0.6667 (0.031)</w:t>
            </w:r>
          </w:p>
        </w:tc>
      </w:tr>
      <w:tr w:rsidR="001C332B" w14:paraId="35752F97" w14:textId="77777777" w:rsidTr="006E6B76">
        <w:trPr>
          <w:trHeight w:val="420"/>
        </w:trPr>
        <w:tc>
          <w:tcPr>
            <w:tcW w:w="1276" w:type="dxa"/>
            <w:vMerge/>
            <w:shd w:val="clear" w:color="auto" w:fill="FFFFFF"/>
          </w:tcPr>
          <w:p w14:paraId="6C656409" w14:textId="77777777" w:rsidR="001C332B" w:rsidRDefault="001C332B" w:rsidP="006E6B76">
            <w:pPr>
              <w:widowControl w:val="0"/>
              <w:rPr>
                <w:b/>
                <w:sz w:val="22"/>
                <w:szCs w:val="22"/>
              </w:rPr>
            </w:pPr>
          </w:p>
        </w:tc>
        <w:tc>
          <w:tcPr>
            <w:tcW w:w="1134" w:type="dxa"/>
            <w:shd w:val="clear" w:color="auto" w:fill="E7E6E6"/>
          </w:tcPr>
          <w:p w14:paraId="08BB9BF1" w14:textId="77777777" w:rsidR="001C332B" w:rsidRDefault="008352E7" w:rsidP="006E6B76">
            <w:pPr>
              <w:rPr>
                <w:b/>
                <w:sz w:val="22"/>
                <w:szCs w:val="22"/>
              </w:rPr>
            </w:pPr>
            <w:r>
              <w:rPr>
                <w:b/>
                <w:sz w:val="22"/>
                <w:szCs w:val="22"/>
              </w:rPr>
              <w:t>Alt a 6</w:t>
            </w:r>
          </w:p>
        </w:tc>
        <w:tc>
          <w:tcPr>
            <w:tcW w:w="851" w:type="dxa"/>
            <w:shd w:val="clear" w:color="auto" w:fill="FFFFFF"/>
          </w:tcPr>
          <w:p w14:paraId="205A2AF8" w14:textId="77777777" w:rsidR="001C332B" w:rsidRPr="005F5C5A" w:rsidRDefault="008352E7" w:rsidP="006E6B76">
            <w:pPr>
              <w:jc w:val="center"/>
              <w:rPr>
                <w:sz w:val="20"/>
                <w:szCs w:val="22"/>
              </w:rPr>
            </w:pPr>
            <w:r w:rsidRPr="005F5C5A">
              <w:rPr>
                <w:sz w:val="20"/>
                <w:szCs w:val="22"/>
              </w:rPr>
              <w:t>0%</w:t>
            </w:r>
          </w:p>
        </w:tc>
        <w:tc>
          <w:tcPr>
            <w:tcW w:w="992" w:type="dxa"/>
            <w:shd w:val="clear" w:color="auto" w:fill="FFFFFF"/>
          </w:tcPr>
          <w:p w14:paraId="3E2F2B55" w14:textId="77777777" w:rsidR="001C332B" w:rsidRPr="005F5C5A" w:rsidRDefault="008352E7" w:rsidP="006E6B76">
            <w:pPr>
              <w:jc w:val="center"/>
              <w:rPr>
                <w:sz w:val="20"/>
                <w:szCs w:val="22"/>
              </w:rPr>
            </w:pPr>
            <w:r w:rsidRPr="005F5C5A">
              <w:rPr>
                <w:sz w:val="20"/>
                <w:szCs w:val="22"/>
              </w:rPr>
              <w:t>0%</w:t>
            </w:r>
          </w:p>
        </w:tc>
        <w:tc>
          <w:tcPr>
            <w:tcW w:w="859" w:type="dxa"/>
            <w:shd w:val="clear" w:color="auto" w:fill="E7E6E6"/>
          </w:tcPr>
          <w:p w14:paraId="329E4168" w14:textId="77777777" w:rsidR="001C332B" w:rsidRPr="005F5C5A" w:rsidRDefault="001C332B" w:rsidP="006E6B76">
            <w:pPr>
              <w:jc w:val="center"/>
              <w:rPr>
                <w:sz w:val="20"/>
                <w:szCs w:val="22"/>
              </w:rPr>
            </w:pPr>
          </w:p>
        </w:tc>
        <w:tc>
          <w:tcPr>
            <w:tcW w:w="960" w:type="dxa"/>
            <w:shd w:val="clear" w:color="auto" w:fill="E7E6E6"/>
          </w:tcPr>
          <w:p w14:paraId="7C401156" w14:textId="77777777" w:rsidR="001C332B" w:rsidRPr="005F5C5A" w:rsidRDefault="001C332B" w:rsidP="006E6B76">
            <w:pPr>
              <w:jc w:val="center"/>
              <w:rPr>
                <w:sz w:val="20"/>
                <w:szCs w:val="22"/>
              </w:rPr>
            </w:pPr>
          </w:p>
        </w:tc>
        <w:tc>
          <w:tcPr>
            <w:tcW w:w="945" w:type="dxa"/>
            <w:shd w:val="clear" w:color="auto" w:fill="E7E6E6"/>
          </w:tcPr>
          <w:p w14:paraId="40E61949" w14:textId="77777777" w:rsidR="001C332B" w:rsidRPr="005F5C5A" w:rsidRDefault="001C332B" w:rsidP="006E6B76">
            <w:pPr>
              <w:jc w:val="center"/>
              <w:rPr>
                <w:sz w:val="20"/>
                <w:szCs w:val="22"/>
              </w:rPr>
            </w:pPr>
          </w:p>
        </w:tc>
        <w:tc>
          <w:tcPr>
            <w:tcW w:w="886" w:type="dxa"/>
            <w:shd w:val="clear" w:color="auto" w:fill="FFFFFF"/>
          </w:tcPr>
          <w:p w14:paraId="5664E7E6" w14:textId="77777777" w:rsidR="001C332B" w:rsidRPr="005F5C5A" w:rsidRDefault="008352E7" w:rsidP="006E6B76">
            <w:pPr>
              <w:jc w:val="center"/>
              <w:rPr>
                <w:sz w:val="20"/>
                <w:szCs w:val="22"/>
              </w:rPr>
            </w:pPr>
            <w:r w:rsidRPr="005F5C5A">
              <w:rPr>
                <w:sz w:val="20"/>
                <w:szCs w:val="22"/>
              </w:rPr>
              <w:t>11.1%</w:t>
            </w:r>
          </w:p>
        </w:tc>
        <w:tc>
          <w:tcPr>
            <w:tcW w:w="1028" w:type="dxa"/>
            <w:shd w:val="clear" w:color="auto" w:fill="FFFFFF"/>
          </w:tcPr>
          <w:p w14:paraId="78214F59" w14:textId="77777777" w:rsidR="001C332B" w:rsidRPr="005F5C5A" w:rsidRDefault="008352E7" w:rsidP="006E6B76">
            <w:pPr>
              <w:jc w:val="center"/>
              <w:rPr>
                <w:sz w:val="20"/>
                <w:szCs w:val="22"/>
              </w:rPr>
            </w:pPr>
            <w:r w:rsidRPr="005F5C5A">
              <w:rPr>
                <w:sz w:val="20"/>
                <w:szCs w:val="22"/>
              </w:rPr>
              <w:t>0%</w:t>
            </w:r>
          </w:p>
        </w:tc>
        <w:tc>
          <w:tcPr>
            <w:tcW w:w="936" w:type="dxa"/>
            <w:shd w:val="clear" w:color="auto" w:fill="FFFFFF"/>
          </w:tcPr>
          <w:p w14:paraId="30EDFFA5" w14:textId="77777777" w:rsidR="001C332B" w:rsidRPr="005F5C5A" w:rsidRDefault="008352E7" w:rsidP="006E6B76">
            <w:pPr>
              <w:jc w:val="center"/>
              <w:rPr>
                <w:sz w:val="20"/>
                <w:szCs w:val="22"/>
              </w:rPr>
            </w:pPr>
            <w:r w:rsidRPr="005F5C5A">
              <w:rPr>
                <w:sz w:val="20"/>
                <w:szCs w:val="22"/>
              </w:rPr>
              <w:t>0.000 (0.5)</w:t>
            </w:r>
          </w:p>
        </w:tc>
      </w:tr>
      <w:tr w:rsidR="001C332B" w14:paraId="6DCCC080" w14:textId="77777777" w:rsidTr="006E6B76">
        <w:trPr>
          <w:trHeight w:val="420"/>
        </w:trPr>
        <w:tc>
          <w:tcPr>
            <w:tcW w:w="1276" w:type="dxa"/>
            <w:vMerge w:val="restart"/>
          </w:tcPr>
          <w:p w14:paraId="6BAF74BE" w14:textId="77777777" w:rsidR="001C332B" w:rsidRDefault="008352E7" w:rsidP="006E6B76">
            <w:pPr>
              <w:rPr>
                <w:sz w:val="18"/>
                <w:szCs w:val="18"/>
              </w:rPr>
            </w:pPr>
            <w:r>
              <w:rPr>
                <w:b/>
                <w:sz w:val="18"/>
                <w:szCs w:val="18"/>
              </w:rPr>
              <w:t>Apple</w:t>
            </w:r>
          </w:p>
        </w:tc>
        <w:tc>
          <w:tcPr>
            <w:tcW w:w="1134" w:type="dxa"/>
            <w:shd w:val="clear" w:color="auto" w:fill="E7E6E6"/>
          </w:tcPr>
          <w:p w14:paraId="451E8267" w14:textId="77777777" w:rsidR="001C332B" w:rsidRDefault="008352E7" w:rsidP="006E6B76">
            <w:pPr>
              <w:rPr>
                <w:sz w:val="22"/>
                <w:szCs w:val="22"/>
              </w:rPr>
            </w:pPr>
            <w:r>
              <w:rPr>
                <w:b/>
                <w:sz w:val="22"/>
                <w:szCs w:val="22"/>
              </w:rPr>
              <w:t>Mal d 1</w:t>
            </w:r>
          </w:p>
        </w:tc>
        <w:tc>
          <w:tcPr>
            <w:tcW w:w="851" w:type="dxa"/>
          </w:tcPr>
          <w:p w14:paraId="3E7D7A1E" w14:textId="77777777" w:rsidR="001C332B" w:rsidRPr="005F5C5A" w:rsidRDefault="008352E7" w:rsidP="006E6B76">
            <w:pPr>
              <w:jc w:val="center"/>
              <w:rPr>
                <w:sz w:val="20"/>
                <w:szCs w:val="22"/>
              </w:rPr>
            </w:pPr>
            <w:r w:rsidRPr="005F5C5A">
              <w:rPr>
                <w:sz w:val="20"/>
                <w:szCs w:val="22"/>
              </w:rPr>
              <w:t>6.7%</w:t>
            </w:r>
          </w:p>
        </w:tc>
        <w:tc>
          <w:tcPr>
            <w:tcW w:w="992" w:type="dxa"/>
          </w:tcPr>
          <w:p w14:paraId="6EC29C6C" w14:textId="77777777" w:rsidR="001C332B" w:rsidRPr="005F5C5A" w:rsidRDefault="008352E7" w:rsidP="006E6B76">
            <w:pPr>
              <w:jc w:val="center"/>
              <w:rPr>
                <w:sz w:val="20"/>
                <w:szCs w:val="22"/>
              </w:rPr>
            </w:pPr>
            <w:r w:rsidRPr="005F5C5A">
              <w:rPr>
                <w:sz w:val="20"/>
                <w:szCs w:val="22"/>
              </w:rPr>
              <w:t>0%</w:t>
            </w:r>
          </w:p>
        </w:tc>
        <w:tc>
          <w:tcPr>
            <w:tcW w:w="859" w:type="dxa"/>
            <w:shd w:val="clear" w:color="auto" w:fill="E7E6E6"/>
          </w:tcPr>
          <w:p w14:paraId="3AF7DF09" w14:textId="77777777" w:rsidR="001C332B" w:rsidRPr="005F5C5A" w:rsidRDefault="001C332B" w:rsidP="006E6B76">
            <w:pPr>
              <w:jc w:val="center"/>
              <w:rPr>
                <w:sz w:val="20"/>
                <w:szCs w:val="22"/>
              </w:rPr>
            </w:pPr>
          </w:p>
        </w:tc>
        <w:tc>
          <w:tcPr>
            <w:tcW w:w="960" w:type="dxa"/>
            <w:shd w:val="clear" w:color="auto" w:fill="E7E6E6"/>
          </w:tcPr>
          <w:p w14:paraId="5234233A" w14:textId="77777777" w:rsidR="001C332B" w:rsidRPr="005F5C5A" w:rsidRDefault="001C332B" w:rsidP="006E6B76">
            <w:pPr>
              <w:jc w:val="center"/>
              <w:rPr>
                <w:sz w:val="20"/>
                <w:szCs w:val="22"/>
              </w:rPr>
            </w:pPr>
          </w:p>
        </w:tc>
        <w:tc>
          <w:tcPr>
            <w:tcW w:w="945" w:type="dxa"/>
            <w:shd w:val="clear" w:color="auto" w:fill="E7E6E6"/>
          </w:tcPr>
          <w:p w14:paraId="3538426F" w14:textId="77777777" w:rsidR="001C332B" w:rsidRPr="005F5C5A" w:rsidRDefault="001C332B" w:rsidP="006E6B76">
            <w:pPr>
              <w:jc w:val="center"/>
              <w:rPr>
                <w:sz w:val="20"/>
                <w:szCs w:val="22"/>
              </w:rPr>
            </w:pPr>
          </w:p>
        </w:tc>
        <w:tc>
          <w:tcPr>
            <w:tcW w:w="886" w:type="dxa"/>
            <w:shd w:val="clear" w:color="auto" w:fill="FFFFFF"/>
          </w:tcPr>
          <w:p w14:paraId="4A597869" w14:textId="77777777" w:rsidR="001C332B" w:rsidRPr="005F5C5A" w:rsidRDefault="008352E7" w:rsidP="006E6B76">
            <w:pPr>
              <w:jc w:val="center"/>
              <w:rPr>
                <w:sz w:val="20"/>
                <w:szCs w:val="22"/>
              </w:rPr>
            </w:pPr>
            <w:r w:rsidRPr="005F5C5A">
              <w:rPr>
                <w:sz w:val="20"/>
                <w:szCs w:val="22"/>
              </w:rPr>
              <w:t>6.7%</w:t>
            </w:r>
          </w:p>
        </w:tc>
        <w:tc>
          <w:tcPr>
            <w:tcW w:w="1028" w:type="dxa"/>
            <w:shd w:val="clear" w:color="auto" w:fill="FFFFFF"/>
          </w:tcPr>
          <w:p w14:paraId="656D370C" w14:textId="77777777" w:rsidR="001C332B" w:rsidRPr="005F5C5A" w:rsidRDefault="008352E7" w:rsidP="006E6B76">
            <w:pPr>
              <w:jc w:val="center"/>
              <w:rPr>
                <w:sz w:val="20"/>
                <w:szCs w:val="22"/>
              </w:rPr>
            </w:pPr>
            <w:r w:rsidRPr="005F5C5A">
              <w:rPr>
                <w:sz w:val="20"/>
                <w:szCs w:val="22"/>
              </w:rPr>
              <w:t>0%</w:t>
            </w:r>
          </w:p>
        </w:tc>
        <w:tc>
          <w:tcPr>
            <w:tcW w:w="936" w:type="dxa"/>
            <w:shd w:val="clear" w:color="auto" w:fill="FFFFFF"/>
          </w:tcPr>
          <w:p w14:paraId="29E5BE92" w14:textId="77777777" w:rsidR="001C332B" w:rsidRPr="005F5C5A" w:rsidRDefault="008352E7" w:rsidP="006E6B76">
            <w:pPr>
              <w:jc w:val="center"/>
              <w:rPr>
                <w:sz w:val="20"/>
                <w:szCs w:val="22"/>
              </w:rPr>
            </w:pPr>
            <w:r w:rsidRPr="005F5C5A">
              <w:rPr>
                <w:sz w:val="20"/>
                <w:szCs w:val="22"/>
              </w:rPr>
              <w:t>0.493 (1)</w:t>
            </w:r>
          </w:p>
        </w:tc>
      </w:tr>
      <w:tr w:rsidR="001C332B" w14:paraId="5A4F4CC2" w14:textId="77777777" w:rsidTr="006E6B76">
        <w:trPr>
          <w:trHeight w:val="420"/>
        </w:trPr>
        <w:tc>
          <w:tcPr>
            <w:tcW w:w="1276" w:type="dxa"/>
            <w:vMerge/>
          </w:tcPr>
          <w:p w14:paraId="6301EA0E" w14:textId="77777777" w:rsidR="001C332B" w:rsidRDefault="001C332B" w:rsidP="006E6B76">
            <w:pPr>
              <w:widowControl w:val="0"/>
              <w:rPr>
                <w:sz w:val="22"/>
                <w:szCs w:val="22"/>
              </w:rPr>
            </w:pPr>
          </w:p>
        </w:tc>
        <w:tc>
          <w:tcPr>
            <w:tcW w:w="1134" w:type="dxa"/>
            <w:shd w:val="clear" w:color="auto" w:fill="E7E6E6"/>
          </w:tcPr>
          <w:p w14:paraId="5B7D0927" w14:textId="77777777" w:rsidR="001C332B" w:rsidRDefault="008352E7" w:rsidP="006E6B76">
            <w:pPr>
              <w:rPr>
                <w:sz w:val="22"/>
                <w:szCs w:val="22"/>
              </w:rPr>
            </w:pPr>
            <w:r>
              <w:rPr>
                <w:b/>
                <w:sz w:val="22"/>
                <w:szCs w:val="22"/>
              </w:rPr>
              <w:t>Mal d 2</w:t>
            </w:r>
          </w:p>
        </w:tc>
        <w:tc>
          <w:tcPr>
            <w:tcW w:w="851" w:type="dxa"/>
          </w:tcPr>
          <w:p w14:paraId="66D516D9" w14:textId="77777777" w:rsidR="001C332B" w:rsidRPr="005F5C5A" w:rsidRDefault="008352E7" w:rsidP="006E6B76">
            <w:pPr>
              <w:jc w:val="center"/>
              <w:rPr>
                <w:sz w:val="20"/>
                <w:szCs w:val="22"/>
              </w:rPr>
            </w:pPr>
            <w:r w:rsidRPr="005F5C5A">
              <w:rPr>
                <w:sz w:val="20"/>
                <w:szCs w:val="22"/>
              </w:rPr>
              <w:t>0%</w:t>
            </w:r>
          </w:p>
        </w:tc>
        <w:tc>
          <w:tcPr>
            <w:tcW w:w="992" w:type="dxa"/>
          </w:tcPr>
          <w:p w14:paraId="17DA8270" w14:textId="77777777" w:rsidR="001C332B" w:rsidRPr="005F5C5A" w:rsidRDefault="008352E7" w:rsidP="006E6B76">
            <w:pPr>
              <w:jc w:val="center"/>
              <w:rPr>
                <w:sz w:val="20"/>
                <w:szCs w:val="22"/>
              </w:rPr>
            </w:pPr>
            <w:r w:rsidRPr="005F5C5A">
              <w:rPr>
                <w:sz w:val="20"/>
                <w:szCs w:val="22"/>
              </w:rPr>
              <w:t>0%</w:t>
            </w:r>
          </w:p>
        </w:tc>
        <w:tc>
          <w:tcPr>
            <w:tcW w:w="859" w:type="dxa"/>
            <w:shd w:val="clear" w:color="auto" w:fill="E7E6E6"/>
          </w:tcPr>
          <w:p w14:paraId="34CAC2FA" w14:textId="77777777" w:rsidR="001C332B" w:rsidRPr="005F5C5A" w:rsidRDefault="001C332B" w:rsidP="006E6B76">
            <w:pPr>
              <w:jc w:val="center"/>
              <w:rPr>
                <w:sz w:val="20"/>
                <w:szCs w:val="22"/>
              </w:rPr>
            </w:pPr>
          </w:p>
        </w:tc>
        <w:tc>
          <w:tcPr>
            <w:tcW w:w="960" w:type="dxa"/>
            <w:shd w:val="clear" w:color="auto" w:fill="E7E6E6"/>
          </w:tcPr>
          <w:p w14:paraId="61A6C4D0" w14:textId="77777777" w:rsidR="001C332B" w:rsidRPr="005F5C5A" w:rsidRDefault="001C332B" w:rsidP="006E6B76">
            <w:pPr>
              <w:jc w:val="center"/>
              <w:rPr>
                <w:sz w:val="20"/>
                <w:szCs w:val="22"/>
              </w:rPr>
            </w:pPr>
          </w:p>
        </w:tc>
        <w:tc>
          <w:tcPr>
            <w:tcW w:w="945" w:type="dxa"/>
            <w:shd w:val="clear" w:color="auto" w:fill="E7E6E6"/>
          </w:tcPr>
          <w:p w14:paraId="55D95127" w14:textId="77777777" w:rsidR="001C332B" w:rsidRPr="005F5C5A" w:rsidRDefault="001C332B" w:rsidP="006E6B76">
            <w:pPr>
              <w:jc w:val="center"/>
              <w:rPr>
                <w:sz w:val="20"/>
                <w:szCs w:val="22"/>
              </w:rPr>
            </w:pPr>
          </w:p>
        </w:tc>
        <w:tc>
          <w:tcPr>
            <w:tcW w:w="886" w:type="dxa"/>
            <w:shd w:val="clear" w:color="auto" w:fill="E7E6E6"/>
          </w:tcPr>
          <w:p w14:paraId="0D0B2D19" w14:textId="77777777" w:rsidR="001C332B" w:rsidRPr="005F5C5A" w:rsidRDefault="001C332B" w:rsidP="006E6B76">
            <w:pPr>
              <w:jc w:val="center"/>
              <w:rPr>
                <w:sz w:val="20"/>
                <w:szCs w:val="22"/>
              </w:rPr>
            </w:pPr>
          </w:p>
        </w:tc>
        <w:tc>
          <w:tcPr>
            <w:tcW w:w="1028" w:type="dxa"/>
            <w:shd w:val="clear" w:color="auto" w:fill="E7E6E6"/>
          </w:tcPr>
          <w:p w14:paraId="00CDC917" w14:textId="77777777" w:rsidR="001C332B" w:rsidRPr="005F5C5A" w:rsidRDefault="001C332B" w:rsidP="006E6B76">
            <w:pPr>
              <w:jc w:val="center"/>
              <w:rPr>
                <w:sz w:val="20"/>
                <w:szCs w:val="22"/>
              </w:rPr>
            </w:pPr>
          </w:p>
        </w:tc>
        <w:tc>
          <w:tcPr>
            <w:tcW w:w="936" w:type="dxa"/>
            <w:shd w:val="clear" w:color="auto" w:fill="E7E6E6"/>
          </w:tcPr>
          <w:p w14:paraId="71A822E3" w14:textId="77777777" w:rsidR="001C332B" w:rsidRPr="005F5C5A" w:rsidRDefault="001C332B" w:rsidP="006E6B76">
            <w:pPr>
              <w:jc w:val="center"/>
              <w:rPr>
                <w:sz w:val="20"/>
                <w:szCs w:val="22"/>
              </w:rPr>
            </w:pPr>
          </w:p>
        </w:tc>
      </w:tr>
      <w:tr w:rsidR="001C332B" w14:paraId="2E8B36F8" w14:textId="77777777" w:rsidTr="006E6B76">
        <w:trPr>
          <w:trHeight w:val="420"/>
        </w:trPr>
        <w:tc>
          <w:tcPr>
            <w:tcW w:w="1276" w:type="dxa"/>
            <w:vMerge/>
          </w:tcPr>
          <w:p w14:paraId="2F40A23E" w14:textId="77777777" w:rsidR="001C332B" w:rsidRDefault="001C332B" w:rsidP="006E6B76">
            <w:pPr>
              <w:widowControl w:val="0"/>
              <w:rPr>
                <w:sz w:val="22"/>
                <w:szCs w:val="22"/>
              </w:rPr>
            </w:pPr>
          </w:p>
        </w:tc>
        <w:tc>
          <w:tcPr>
            <w:tcW w:w="1134" w:type="dxa"/>
            <w:shd w:val="clear" w:color="auto" w:fill="E7E6E6"/>
          </w:tcPr>
          <w:p w14:paraId="5D9CF059" w14:textId="77777777" w:rsidR="001C332B" w:rsidRDefault="008352E7" w:rsidP="006E6B76">
            <w:pPr>
              <w:rPr>
                <w:sz w:val="22"/>
                <w:szCs w:val="22"/>
              </w:rPr>
            </w:pPr>
            <w:r>
              <w:rPr>
                <w:b/>
                <w:sz w:val="22"/>
                <w:szCs w:val="22"/>
              </w:rPr>
              <w:t>Mal d 3</w:t>
            </w:r>
          </w:p>
        </w:tc>
        <w:tc>
          <w:tcPr>
            <w:tcW w:w="851" w:type="dxa"/>
          </w:tcPr>
          <w:p w14:paraId="68BD7FA4" w14:textId="77777777" w:rsidR="001C332B" w:rsidRPr="005F5C5A" w:rsidRDefault="008352E7" w:rsidP="006E6B76">
            <w:pPr>
              <w:jc w:val="center"/>
              <w:rPr>
                <w:sz w:val="20"/>
                <w:szCs w:val="22"/>
              </w:rPr>
            </w:pPr>
            <w:r w:rsidRPr="005F5C5A">
              <w:rPr>
                <w:sz w:val="20"/>
                <w:szCs w:val="22"/>
              </w:rPr>
              <w:t>66.7%</w:t>
            </w:r>
          </w:p>
        </w:tc>
        <w:tc>
          <w:tcPr>
            <w:tcW w:w="992" w:type="dxa"/>
          </w:tcPr>
          <w:p w14:paraId="48D69357" w14:textId="77777777" w:rsidR="001C332B" w:rsidRPr="005F5C5A" w:rsidRDefault="008352E7" w:rsidP="006E6B76">
            <w:pPr>
              <w:jc w:val="center"/>
              <w:rPr>
                <w:sz w:val="20"/>
                <w:szCs w:val="22"/>
              </w:rPr>
            </w:pPr>
            <w:r w:rsidRPr="005F5C5A">
              <w:rPr>
                <w:sz w:val="20"/>
                <w:szCs w:val="22"/>
              </w:rPr>
              <w:t>0%</w:t>
            </w:r>
          </w:p>
        </w:tc>
        <w:tc>
          <w:tcPr>
            <w:tcW w:w="859" w:type="dxa"/>
            <w:shd w:val="clear" w:color="auto" w:fill="FFFFFF"/>
          </w:tcPr>
          <w:p w14:paraId="6ADF457F" w14:textId="77777777" w:rsidR="001C332B" w:rsidRPr="005F5C5A" w:rsidRDefault="008352E7" w:rsidP="006E6B76">
            <w:pPr>
              <w:jc w:val="center"/>
              <w:rPr>
                <w:sz w:val="20"/>
                <w:szCs w:val="22"/>
              </w:rPr>
            </w:pPr>
            <w:r w:rsidRPr="005F5C5A">
              <w:rPr>
                <w:sz w:val="20"/>
                <w:szCs w:val="22"/>
              </w:rPr>
              <w:t>86.7%</w:t>
            </w:r>
          </w:p>
        </w:tc>
        <w:tc>
          <w:tcPr>
            <w:tcW w:w="960" w:type="dxa"/>
            <w:shd w:val="clear" w:color="auto" w:fill="FFFFFF"/>
          </w:tcPr>
          <w:p w14:paraId="127A11A0" w14:textId="77777777" w:rsidR="001C332B" w:rsidRPr="005F5C5A" w:rsidRDefault="008352E7" w:rsidP="006E6B76">
            <w:pPr>
              <w:jc w:val="center"/>
              <w:rPr>
                <w:sz w:val="20"/>
                <w:szCs w:val="22"/>
              </w:rPr>
            </w:pPr>
            <w:r w:rsidRPr="005F5C5A">
              <w:rPr>
                <w:sz w:val="20"/>
                <w:szCs w:val="22"/>
              </w:rPr>
              <w:t>0%</w:t>
            </w:r>
          </w:p>
        </w:tc>
        <w:tc>
          <w:tcPr>
            <w:tcW w:w="945" w:type="dxa"/>
          </w:tcPr>
          <w:p w14:paraId="7002DD98" w14:textId="77777777" w:rsidR="001C332B" w:rsidRPr="005F5C5A" w:rsidRDefault="008352E7" w:rsidP="006E6B76">
            <w:pPr>
              <w:jc w:val="center"/>
              <w:rPr>
                <w:sz w:val="20"/>
                <w:szCs w:val="22"/>
              </w:rPr>
            </w:pPr>
            <w:r w:rsidRPr="005F5C5A">
              <w:rPr>
                <w:sz w:val="20"/>
                <w:szCs w:val="22"/>
              </w:rPr>
              <w:t>0.691 (0.375)</w:t>
            </w:r>
          </w:p>
        </w:tc>
        <w:tc>
          <w:tcPr>
            <w:tcW w:w="886" w:type="dxa"/>
            <w:shd w:val="clear" w:color="auto" w:fill="E7E6E6"/>
          </w:tcPr>
          <w:p w14:paraId="38FC1272" w14:textId="77777777" w:rsidR="001C332B" w:rsidRPr="005F5C5A" w:rsidRDefault="001C332B" w:rsidP="006E6B76">
            <w:pPr>
              <w:jc w:val="center"/>
              <w:rPr>
                <w:sz w:val="20"/>
                <w:szCs w:val="22"/>
              </w:rPr>
            </w:pPr>
          </w:p>
        </w:tc>
        <w:tc>
          <w:tcPr>
            <w:tcW w:w="1028" w:type="dxa"/>
            <w:shd w:val="clear" w:color="auto" w:fill="E7E6E6"/>
          </w:tcPr>
          <w:p w14:paraId="395C6D91" w14:textId="77777777" w:rsidR="001C332B" w:rsidRPr="005F5C5A" w:rsidRDefault="001C332B" w:rsidP="006E6B76">
            <w:pPr>
              <w:jc w:val="center"/>
              <w:rPr>
                <w:sz w:val="20"/>
                <w:szCs w:val="22"/>
              </w:rPr>
            </w:pPr>
          </w:p>
        </w:tc>
        <w:tc>
          <w:tcPr>
            <w:tcW w:w="936" w:type="dxa"/>
            <w:shd w:val="clear" w:color="auto" w:fill="E7E6E6"/>
          </w:tcPr>
          <w:p w14:paraId="29E41876" w14:textId="77777777" w:rsidR="001C332B" w:rsidRPr="005F5C5A" w:rsidRDefault="001C332B" w:rsidP="006E6B76">
            <w:pPr>
              <w:jc w:val="center"/>
              <w:rPr>
                <w:sz w:val="20"/>
                <w:szCs w:val="22"/>
              </w:rPr>
            </w:pPr>
          </w:p>
        </w:tc>
      </w:tr>
      <w:tr w:rsidR="001C332B" w14:paraId="23377BCC" w14:textId="77777777" w:rsidTr="006E6B76">
        <w:trPr>
          <w:trHeight w:val="420"/>
        </w:trPr>
        <w:tc>
          <w:tcPr>
            <w:tcW w:w="1276" w:type="dxa"/>
            <w:vMerge w:val="restart"/>
          </w:tcPr>
          <w:p w14:paraId="2DC8823D" w14:textId="77777777" w:rsidR="001C332B" w:rsidRDefault="001C332B" w:rsidP="006E6B76">
            <w:pPr>
              <w:rPr>
                <w:b/>
                <w:sz w:val="18"/>
                <w:szCs w:val="18"/>
              </w:rPr>
            </w:pPr>
          </w:p>
          <w:p w14:paraId="00393635" w14:textId="77777777" w:rsidR="001C332B" w:rsidRDefault="008352E7" w:rsidP="006E6B76">
            <w:pPr>
              <w:rPr>
                <w:sz w:val="18"/>
                <w:szCs w:val="18"/>
              </w:rPr>
            </w:pPr>
            <w:r>
              <w:rPr>
                <w:b/>
                <w:sz w:val="18"/>
                <w:szCs w:val="18"/>
              </w:rPr>
              <w:t>Peach</w:t>
            </w:r>
          </w:p>
        </w:tc>
        <w:tc>
          <w:tcPr>
            <w:tcW w:w="1134" w:type="dxa"/>
            <w:shd w:val="clear" w:color="auto" w:fill="E7E6E6"/>
          </w:tcPr>
          <w:p w14:paraId="2DE12CC7" w14:textId="77777777" w:rsidR="001C332B" w:rsidRDefault="008352E7" w:rsidP="006E6B76">
            <w:pPr>
              <w:rPr>
                <w:b/>
                <w:sz w:val="22"/>
                <w:szCs w:val="22"/>
              </w:rPr>
            </w:pPr>
            <w:proofErr w:type="spellStart"/>
            <w:r>
              <w:rPr>
                <w:b/>
                <w:sz w:val="22"/>
                <w:szCs w:val="22"/>
              </w:rPr>
              <w:t>Pru</w:t>
            </w:r>
            <w:proofErr w:type="spellEnd"/>
            <w:r>
              <w:rPr>
                <w:b/>
                <w:sz w:val="22"/>
                <w:szCs w:val="22"/>
              </w:rPr>
              <w:t xml:space="preserve"> p 1</w:t>
            </w:r>
          </w:p>
        </w:tc>
        <w:tc>
          <w:tcPr>
            <w:tcW w:w="851" w:type="dxa"/>
            <w:shd w:val="clear" w:color="auto" w:fill="E7E6E6"/>
          </w:tcPr>
          <w:p w14:paraId="327F9780" w14:textId="77777777" w:rsidR="001C332B" w:rsidRPr="005F5C5A" w:rsidRDefault="001C332B" w:rsidP="006E6B76">
            <w:pPr>
              <w:jc w:val="center"/>
              <w:rPr>
                <w:sz w:val="20"/>
                <w:szCs w:val="22"/>
              </w:rPr>
            </w:pPr>
          </w:p>
        </w:tc>
        <w:tc>
          <w:tcPr>
            <w:tcW w:w="992" w:type="dxa"/>
            <w:shd w:val="clear" w:color="auto" w:fill="E7E6E6"/>
          </w:tcPr>
          <w:p w14:paraId="63E3DD1E" w14:textId="77777777" w:rsidR="001C332B" w:rsidRPr="005F5C5A" w:rsidRDefault="001C332B" w:rsidP="006E6B76">
            <w:pPr>
              <w:jc w:val="center"/>
              <w:rPr>
                <w:sz w:val="20"/>
                <w:szCs w:val="22"/>
              </w:rPr>
            </w:pPr>
          </w:p>
        </w:tc>
        <w:tc>
          <w:tcPr>
            <w:tcW w:w="859" w:type="dxa"/>
            <w:shd w:val="clear" w:color="auto" w:fill="E7E6E6"/>
          </w:tcPr>
          <w:p w14:paraId="37A6BD03" w14:textId="77777777" w:rsidR="001C332B" w:rsidRPr="005F5C5A" w:rsidRDefault="001C332B" w:rsidP="006E6B76">
            <w:pPr>
              <w:jc w:val="center"/>
              <w:rPr>
                <w:sz w:val="20"/>
                <w:szCs w:val="22"/>
              </w:rPr>
            </w:pPr>
          </w:p>
        </w:tc>
        <w:tc>
          <w:tcPr>
            <w:tcW w:w="960" w:type="dxa"/>
            <w:shd w:val="clear" w:color="auto" w:fill="E7E6E6"/>
          </w:tcPr>
          <w:p w14:paraId="12ADF243" w14:textId="77777777" w:rsidR="001C332B" w:rsidRPr="005F5C5A" w:rsidRDefault="001C332B" w:rsidP="006E6B76">
            <w:pPr>
              <w:jc w:val="center"/>
              <w:rPr>
                <w:sz w:val="20"/>
                <w:szCs w:val="22"/>
              </w:rPr>
            </w:pPr>
          </w:p>
        </w:tc>
        <w:tc>
          <w:tcPr>
            <w:tcW w:w="945" w:type="dxa"/>
            <w:shd w:val="clear" w:color="auto" w:fill="E7E6E6"/>
          </w:tcPr>
          <w:p w14:paraId="3633A378" w14:textId="77777777" w:rsidR="001C332B" w:rsidRPr="005F5C5A" w:rsidRDefault="001C332B" w:rsidP="006E6B76">
            <w:pPr>
              <w:jc w:val="center"/>
              <w:rPr>
                <w:sz w:val="20"/>
                <w:szCs w:val="22"/>
              </w:rPr>
            </w:pPr>
          </w:p>
        </w:tc>
        <w:tc>
          <w:tcPr>
            <w:tcW w:w="886" w:type="dxa"/>
            <w:shd w:val="clear" w:color="auto" w:fill="FFFFFF"/>
          </w:tcPr>
          <w:p w14:paraId="76131618" w14:textId="77777777" w:rsidR="001C332B" w:rsidRPr="005F5C5A" w:rsidRDefault="008352E7" w:rsidP="006E6B76">
            <w:pPr>
              <w:jc w:val="center"/>
              <w:rPr>
                <w:sz w:val="20"/>
                <w:szCs w:val="22"/>
              </w:rPr>
            </w:pPr>
            <w:r w:rsidRPr="005F5C5A">
              <w:rPr>
                <w:sz w:val="20"/>
                <w:szCs w:val="22"/>
              </w:rPr>
              <w:t>0%</w:t>
            </w:r>
          </w:p>
        </w:tc>
        <w:tc>
          <w:tcPr>
            <w:tcW w:w="1028" w:type="dxa"/>
            <w:shd w:val="clear" w:color="auto" w:fill="FFFFFF"/>
          </w:tcPr>
          <w:p w14:paraId="55439F50" w14:textId="77777777" w:rsidR="001C332B" w:rsidRPr="005F5C5A" w:rsidRDefault="008352E7" w:rsidP="006E6B76">
            <w:pPr>
              <w:jc w:val="center"/>
              <w:rPr>
                <w:sz w:val="20"/>
                <w:szCs w:val="22"/>
              </w:rPr>
            </w:pPr>
            <w:r w:rsidRPr="005F5C5A">
              <w:rPr>
                <w:sz w:val="20"/>
                <w:szCs w:val="22"/>
              </w:rPr>
              <w:t>0%</w:t>
            </w:r>
          </w:p>
        </w:tc>
        <w:tc>
          <w:tcPr>
            <w:tcW w:w="936" w:type="dxa"/>
            <w:shd w:val="clear" w:color="auto" w:fill="E7E6E6"/>
          </w:tcPr>
          <w:p w14:paraId="1E439F00" w14:textId="77777777" w:rsidR="001C332B" w:rsidRPr="005F5C5A" w:rsidRDefault="001C332B" w:rsidP="006E6B76">
            <w:pPr>
              <w:jc w:val="center"/>
              <w:rPr>
                <w:sz w:val="20"/>
                <w:szCs w:val="22"/>
              </w:rPr>
            </w:pPr>
          </w:p>
        </w:tc>
      </w:tr>
      <w:tr w:rsidR="001C332B" w14:paraId="57B6824A" w14:textId="77777777" w:rsidTr="006E6B76">
        <w:trPr>
          <w:trHeight w:val="420"/>
        </w:trPr>
        <w:tc>
          <w:tcPr>
            <w:tcW w:w="1276" w:type="dxa"/>
            <w:vMerge/>
          </w:tcPr>
          <w:p w14:paraId="22950ED0" w14:textId="77777777" w:rsidR="001C332B" w:rsidRDefault="001C332B" w:rsidP="006E6B76">
            <w:pPr>
              <w:widowControl w:val="0"/>
              <w:rPr>
                <w:sz w:val="22"/>
                <w:szCs w:val="22"/>
              </w:rPr>
            </w:pPr>
          </w:p>
        </w:tc>
        <w:tc>
          <w:tcPr>
            <w:tcW w:w="1134" w:type="dxa"/>
            <w:shd w:val="clear" w:color="auto" w:fill="E7E6E6"/>
          </w:tcPr>
          <w:p w14:paraId="4B6602E6" w14:textId="77777777" w:rsidR="001C332B" w:rsidRDefault="008352E7" w:rsidP="006E6B76">
            <w:pPr>
              <w:rPr>
                <w:sz w:val="22"/>
                <w:szCs w:val="22"/>
              </w:rPr>
            </w:pPr>
            <w:proofErr w:type="spellStart"/>
            <w:r>
              <w:rPr>
                <w:b/>
                <w:sz w:val="22"/>
                <w:szCs w:val="22"/>
              </w:rPr>
              <w:t>Pru</w:t>
            </w:r>
            <w:proofErr w:type="spellEnd"/>
            <w:r>
              <w:rPr>
                <w:b/>
                <w:sz w:val="22"/>
                <w:szCs w:val="22"/>
              </w:rPr>
              <w:t xml:space="preserve"> p 3</w:t>
            </w:r>
          </w:p>
        </w:tc>
        <w:tc>
          <w:tcPr>
            <w:tcW w:w="851" w:type="dxa"/>
          </w:tcPr>
          <w:p w14:paraId="238A1A62" w14:textId="77777777" w:rsidR="001C332B" w:rsidRPr="005F5C5A" w:rsidRDefault="008352E7" w:rsidP="006E6B76">
            <w:pPr>
              <w:jc w:val="center"/>
              <w:rPr>
                <w:sz w:val="20"/>
                <w:szCs w:val="22"/>
              </w:rPr>
            </w:pPr>
            <w:r w:rsidRPr="005F5C5A">
              <w:rPr>
                <w:sz w:val="20"/>
                <w:szCs w:val="22"/>
              </w:rPr>
              <w:t>94.1%</w:t>
            </w:r>
          </w:p>
        </w:tc>
        <w:tc>
          <w:tcPr>
            <w:tcW w:w="992" w:type="dxa"/>
          </w:tcPr>
          <w:p w14:paraId="0422D981" w14:textId="77777777" w:rsidR="001C332B" w:rsidRPr="005F5C5A" w:rsidRDefault="008352E7" w:rsidP="006E6B76">
            <w:pPr>
              <w:jc w:val="center"/>
              <w:rPr>
                <w:sz w:val="20"/>
                <w:szCs w:val="22"/>
              </w:rPr>
            </w:pPr>
            <w:r w:rsidRPr="005F5C5A">
              <w:rPr>
                <w:sz w:val="20"/>
                <w:szCs w:val="22"/>
              </w:rPr>
              <w:t>0%</w:t>
            </w:r>
          </w:p>
        </w:tc>
        <w:tc>
          <w:tcPr>
            <w:tcW w:w="859" w:type="dxa"/>
            <w:shd w:val="clear" w:color="auto" w:fill="FFFFFF"/>
          </w:tcPr>
          <w:p w14:paraId="47FECA4F" w14:textId="77777777" w:rsidR="001C332B" w:rsidRPr="005F5C5A" w:rsidRDefault="008352E7" w:rsidP="006E6B76">
            <w:pPr>
              <w:jc w:val="center"/>
              <w:rPr>
                <w:sz w:val="20"/>
                <w:szCs w:val="22"/>
              </w:rPr>
            </w:pPr>
            <w:r w:rsidRPr="005F5C5A">
              <w:rPr>
                <w:sz w:val="20"/>
                <w:szCs w:val="22"/>
              </w:rPr>
              <w:t>96.9%</w:t>
            </w:r>
          </w:p>
        </w:tc>
        <w:tc>
          <w:tcPr>
            <w:tcW w:w="960" w:type="dxa"/>
            <w:shd w:val="clear" w:color="auto" w:fill="FFFFFF"/>
          </w:tcPr>
          <w:p w14:paraId="14A40521" w14:textId="77777777" w:rsidR="001C332B" w:rsidRPr="005F5C5A" w:rsidRDefault="008352E7" w:rsidP="006E6B76">
            <w:pPr>
              <w:jc w:val="center"/>
              <w:rPr>
                <w:sz w:val="20"/>
                <w:szCs w:val="22"/>
              </w:rPr>
            </w:pPr>
            <w:r w:rsidRPr="005F5C5A">
              <w:rPr>
                <w:sz w:val="20"/>
                <w:szCs w:val="22"/>
              </w:rPr>
              <w:t>4.3%</w:t>
            </w:r>
          </w:p>
        </w:tc>
        <w:tc>
          <w:tcPr>
            <w:tcW w:w="945" w:type="dxa"/>
          </w:tcPr>
          <w:p w14:paraId="736580F3" w14:textId="77777777" w:rsidR="001C332B" w:rsidRPr="005F5C5A" w:rsidRDefault="008352E7" w:rsidP="006E6B76">
            <w:pPr>
              <w:jc w:val="center"/>
              <w:rPr>
                <w:sz w:val="20"/>
                <w:szCs w:val="22"/>
              </w:rPr>
            </w:pPr>
            <w:r w:rsidRPr="005F5C5A">
              <w:rPr>
                <w:sz w:val="20"/>
                <w:szCs w:val="22"/>
              </w:rPr>
              <w:t>0.927 (0.5)</w:t>
            </w:r>
          </w:p>
        </w:tc>
        <w:tc>
          <w:tcPr>
            <w:tcW w:w="886" w:type="dxa"/>
          </w:tcPr>
          <w:p w14:paraId="1810F2CD" w14:textId="77777777" w:rsidR="001C332B" w:rsidRPr="005F5C5A" w:rsidRDefault="008352E7" w:rsidP="006E6B76">
            <w:pPr>
              <w:jc w:val="center"/>
              <w:rPr>
                <w:sz w:val="20"/>
                <w:szCs w:val="22"/>
              </w:rPr>
            </w:pPr>
            <w:r w:rsidRPr="005F5C5A">
              <w:rPr>
                <w:sz w:val="20"/>
                <w:szCs w:val="22"/>
              </w:rPr>
              <w:t>97.1%</w:t>
            </w:r>
          </w:p>
        </w:tc>
        <w:tc>
          <w:tcPr>
            <w:tcW w:w="1028" w:type="dxa"/>
          </w:tcPr>
          <w:p w14:paraId="5D3F5426" w14:textId="77777777" w:rsidR="001C332B" w:rsidRPr="005F5C5A" w:rsidRDefault="008352E7" w:rsidP="006E6B76">
            <w:pPr>
              <w:jc w:val="center"/>
              <w:rPr>
                <w:sz w:val="20"/>
                <w:szCs w:val="22"/>
              </w:rPr>
            </w:pPr>
            <w:r w:rsidRPr="005F5C5A">
              <w:rPr>
                <w:sz w:val="20"/>
                <w:szCs w:val="22"/>
              </w:rPr>
              <w:t>0%</w:t>
            </w:r>
          </w:p>
        </w:tc>
        <w:tc>
          <w:tcPr>
            <w:tcW w:w="936" w:type="dxa"/>
          </w:tcPr>
          <w:p w14:paraId="618C200D" w14:textId="77777777" w:rsidR="001C332B" w:rsidRPr="005F5C5A" w:rsidRDefault="008352E7" w:rsidP="006E6B76">
            <w:pPr>
              <w:jc w:val="center"/>
              <w:rPr>
                <w:sz w:val="20"/>
                <w:szCs w:val="22"/>
              </w:rPr>
            </w:pPr>
            <w:r w:rsidRPr="005F5C5A">
              <w:rPr>
                <w:sz w:val="20"/>
                <w:szCs w:val="22"/>
              </w:rPr>
              <w:t>0.893 (1)</w:t>
            </w:r>
          </w:p>
        </w:tc>
      </w:tr>
      <w:tr w:rsidR="001C332B" w14:paraId="5F3CD22B" w14:textId="77777777" w:rsidTr="006E6B76">
        <w:trPr>
          <w:trHeight w:val="420"/>
        </w:trPr>
        <w:tc>
          <w:tcPr>
            <w:tcW w:w="1276" w:type="dxa"/>
            <w:vMerge/>
          </w:tcPr>
          <w:p w14:paraId="0FB13C7C" w14:textId="77777777" w:rsidR="001C332B" w:rsidRDefault="001C332B" w:rsidP="006E6B76">
            <w:pPr>
              <w:widowControl w:val="0"/>
              <w:rPr>
                <w:sz w:val="22"/>
                <w:szCs w:val="22"/>
              </w:rPr>
            </w:pPr>
          </w:p>
        </w:tc>
        <w:tc>
          <w:tcPr>
            <w:tcW w:w="1134" w:type="dxa"/>
            <w:shd w:val="clear" w:color="auto" w:fill="E7E6E6"/>
          </w:tcPr>
          <w:p w14:paraId="1D6A0E3B" w14:textId="77777777" w:rsidR="001C332B" w:rsidRDefault="008352E7" w:rsidP="006E6B76">
            <w:pPr>
              <w:rPr>
                <w:sz w:val="22"/>
                <w:szCs w:val="22"/>
              </w:rPr>
            </w:pPr>
            <w:proofErr w:type="spellStart"/>
            <w:r>
              <w:rPr>
                <w:b/>
                <w:sz w:val="22"/>
                <w:szCs w:val="22"/>
              </w:rPr>
              <w:t>Pru</w:t>
            </w:r>
            <w:proofErr w:type="spellEnd"/>
            <w:r>
              <w:rPr>
                <w:b/>
                <w:sz w:val="22"/>
                <w:szCs w:val="22"/>
              </w:rPr>
              <w:t xml:space="preserve"> p 7</w:t>
            </w:r>
          </w:p>
        </w:tc>
        <w:tc>
          <w:tcPr>
            <w:tcW w:w="851" w:type="dxa"/>
          </w:tcPr>
          <w:p w14:paraId="08B0B538" w14:textId="77777777" w:rsidR="001C332B" w:rsidRPr="005F5C5A" w:rsidRDefault="008352E7" w:rsidP="006E6B76">
            <w:pPr>
              <w:jc w:val="center"/>
              <w:rPr>
                <w:sz w:val="20"/>
                <w:szCs w:val="22"/>
              </w:rPr>
            </w:pPr>
            <w:r w:rsidRPr="005F5C5A">
              <w:rPr>
                <w:sz w:val="20"/>
                <w:szCs w:val="22"/>
              </w:rPr>
              <w:t>0%</w:t>
            </w:r>
          </w:p>
        </w:tc>
        <w:tc>
          <w:tcPr>
            <w:tcW w:w="992" w:type="dxa"/>
          </w:tcPr>
          <w:p w14:paraId="7E24D944" w14:textId="77777777" w:rsidR="001C332B" w:rsidRPr="005F5C5A" w:rsidRDefault="008352E7" w:rsidP="006E6B76">
            <w:pPr>
              <w:jc w:val="center"/>
              <w:rPr>
                <w:sz w:val="20"/>
                <w:szCs w:val="22"/>
              </w:rPr>
            </w:pPr>
            <w:r w:rsidRPr="005F5C5A">
              <w:rPr>
                <w:sz w:val="20"/>
                <w:szCs w:val="22"/>
              </w:rPr>
              <w:t>0%</w:t>
            </w:r>
          </w:p>
        </w:tc>
        <w:tc>
          <w:tcPr>
            <w:tcW w:w="859" w:type="dxa"/>
            <w:shd w:val="clear" w:color="auto" w:fill="E7E6E6"/>
          </w:tcPr>
          <w:p w14:paraId="66B0012F" w14:textId="77777777" w:rsidR="001C332B" w:rsidRPr="005F5C5A" w:rsidRDefault="001C332B" w:rsidP="006E6B76">
            <w:pPr>
              <w:jc w:val="center"/>
              <w:rPr>
                <w:sz w:val="20"/>
                <w:szCs w:val="22"/>
              </w:rPr>
            </w:pPr>
          </w:p>
        </w:tc>
        <w:tc>
          <w:tcPr>
            <w:tcW w:w="960" w:type="dxa"/>
            <w:shd w:val="clear" w:color="auto" w:fill="E7E6E6"/>
          </w:tcPr>
          <w:p w14:paraId="092A4F1B" w14:textId="77777777" w:rsidR="001C332B" w:rsidRPr="005F5C5A" w:rsidRDefault="001C332B" w:rsidP="006E6B76">
            <w:pPr>
              <w:jc w:val="center"/>
              <w:rPr>
                <w:sz w:val="20"/>
                <w:szCs w:val="22"/>
              </w:rPr>
            </w:pPr>
          </w:p>
        </w:tc>
        <w:tc>
          <w:tcPr>
            <w:tcW w:w="945" w:type="dxa"/>
            <w:shd w:val="clear" w:color="auto" w:fill="E7E6E6"/>
          </w:tcPr>
          <w:p w14:paraId="372968EB" w14:textId="77777777" w:rsidR="001C332B" w:rsidRPr="005F5C5A" w:rsidRDefault="001C332B" w:rsidP="006E6B76">
            <w:pPr>
              <w:jc w:val="center"/>
              <w:rPr>
                <w:sz w:val="20"/>
                <w:szCs w:val="22"/>
              </w:rPr>
            </w:pPr>
          </w:p>
        </w:tc>
        <w:tc>
          <w:tcPr>
            <w:tcW w:w="886" w:type="dxa"/>
            <w:shd w:val="clear" w:color="auto" w:fill="E7E6E6"/>
          </w:tcPr>
          <w:p w14:paraId="4AAADC5B" w14:textId="77777777" w:rsidR="001C332B" w:rsidRPr="005F5C5A" w:rsidRDefault="001C332B" w:rsidP="006E6B76">
            <w:pPr>
              <w:jc w:val="center"/>
              <w:rPr>
                <w:sz w:val="20"/>
                <w:szCs w:val="22"/>
              </w:rPr>
            </w:pPr>
          </w:p>
        </w:tc>
        <w:tc>
          <w:tcPr>
            <w:tcW w:w="1028" w:type="dxa"/>
            <w:shd w:val="clear" w:color="auto" w:fill="E7E6E6"/>
          </w:tcPr>
          <w:p w14:paraId="17D478DC" w14:textId="77777777" w:rsidR="001C332B" w:rsidRPr="005F5C5A" w:rsidRDefault="001C332B" w:rsidP="006E6B76">
            <w:pPr>
              <w:jc w:val="center"/>
              <w:rPr>
                <w:sz w:val="20"/>
                <w:szCs w:val="22"/>
              </w:rPr>
            </w:pPr>
          </w:p>
        </w:tc>
        <w:tc>
          <w:tcPr>
            <w:tcW w:w="936" w:type="dxa"/>
            <w:shd w:val="clear" w:color="auto" w:fill="E7E6E6"/>
          </w:tcPr>
          <w:p w14:paraId="4D2D55AE" w14:textId="77777777" w:rsidR="001C332B" w:rsidRPr="005F5C5A" w:rsidRDefault="001C332B" w:rsidP="006E6B76">
            <w:pPr>
              <w:jc w:val="center"/>
              <w:rPr>
                <w:sz w:val="20"/>
                <w:szCs w:val="22"/>
              </w:rPr>
            </w:pPr>
          </w:p>
        </w:tc>
      </w:tr>
      <w:tr w:rsidR="001C332B" w14:paraId="6052FAAD" w14:textId="77777777" w:rsidTr="006E6B76">
        <w:trPr>
          <w:trHeight w:val="113"/>
        </w:trPr>
        <w:tc>
          <w:tcPr>
            <w:tcW w:w="1276" w:type="dxa"/>
            <w:vMerge w:val="restart"/>
          </w:tcPr>
          <w:p w14:paraId="3B57B348" w14:textId="77777777" w:rsidR="001C332B" w:rsidRDefault="008352E7" w:rsidP="006E6B76">
            <w:pPr>
              <w:rPr>
                <w:sz w:val="18"/>
                <w:szCs w:val="18"/>
              </w:rPr>
            </w:pPr>
            <w:r>
              <w:rPr>
                <w:b/>
                <w:sz w:val="18"/>
                <w:szCs w:val="18"/>
              </w:rPr>
              <w:t>Walnut</w:t>
            </w:r>
          </w:p>
        </w:tc>
        <w:tc>
          <w:tcPr>
            <w:tcW w:w="1134" w:type="dxa"/>
            <w:shd w:val="clear" w:color="auto" w:fill="E7E6E6"/>
          </w:tcPr>
          <w:p w14:paraId="2E85AE12" w14:textId="77777777" w:rsidR="001C332B" w:rsidRDefault="008352E7" w:rsidP="006E6B76">
            <w:pPr>
              <w:rPr>
                <w:sz w:val="22"/>
                <w:szCs w:val="22"/>
              </w:rPr>
            </w:pPr>
            <w:r>
              <w:rPr>
                <w:b/>
                <w:sz w:val="22"/>
                <w:szCs w:val="22"/>
              </w:rPr>
              <w:t>Jug r 1</w:t>
            </w:r>
          </w:p>
        </w:tc>
        <w:tc>
          <w:tcPr>
            <w:tcW w:w="851" w:type="dxa"/>
          </w:tcPr>
          <w:p w14:paraId="5973A501" w14:textId="77777777" w:rsidR="001C332B" w:rsidRPr="005F5C5A" w:rsidRDefault="008352E7" w:rsidP="006E6B76">
            <w:pPr>
              <w:jc w:val="center"/>
              <w:rPr>
                <w:sz w:val="20"/>
                <w:szCs w:val="22"/>
              </w:rPr>
            </w:pPr>
            <w:r w:rsidRPr="005F5C5A">
              <w:rPr>
                <w:sz w:val="20"/>
                <w:szCs w:val="22"/>
              </w:rPr>
              <w:t>14.3%</w:t>
            </w:r>
          </w:p>
        </w:tc>
        <w:tc>
          <w:tcPr>
            <w:tcW w:w="992" w:type="dxa"/>
          </w:tcPr>
          <w:p w14:paraId="448E079B" w14:textId="77777777" w:rsidR="001C332B" w:rsidRPr="005F5C5A" w:rsidRDefault="008352E7" w:rsidP="006E6B76">
            <w:pPr>
              <w:jc w:val="center"/>
              <w:rPr>
                <w:sz w:val="20"/>
                <w:szCs w:val="22"/>
              </w:rPr>
            </w:pPr>
            <w:r w:rsidRPr="005F5C5A">
              <w:rPr>
                <w:sz w:val="20"/>
                <w:szCs w:val="22"/>
              </w:rPr>
              <w:t>0%</w:t>
            </w:r>
          </w:p>
        </w:tc>
        <w:tc>
          <w:tcPr>
            <w:tcW w:w="859" w:type="dxa"/>
            <w:shd w:val="clear" w:color="auto" w:fill="E7E6E6"/>
          </w:tcPr>
          <w:p w14:paraId="17C6A2E6" w14:textId="77777777" w:rsidR="001C332B" w:rsidRPr="005F5C5A" w:rsidRDefault="001C332B" w:rsidP="006E6B76">
            <w:pPr>
              <w:jc w:val="center"/>
              <w:rPr>
                <w:sz w:val="20"/>
                <w:szCs w:val="22"/>
              </w:rPr>
            </w:pPr>
          </w:p>
        </w:tc>
        <w:tc>
          <w:tcPr>
            <w:tcW w:w="960" w:type="dxa"/>
            <w:shd w:val="clear" w:color="auto" w:fill="E7E6E6"/>
          </w:tcPr>
          <w:p w14:paraId="3A640003" w14:textId="77777777" w:rsidR="001C332B" w:rsidRPr="005F5C5A" w:rsidRDefault="001C332B" w:rsidP="006E6B76">
            <w:pPr>
              <w:jc w:val="center"/>
              <w:rPr>
                <w:sz w:val="20"/>
                <w:szCs w:val="22"/>
              </w:rPr>
            </w:pPr>
          </w:p>
        </w:tc>
        <w:tc>
          <w:tcPr>
            <w:tcW w:w="945" w:type="dxa"/>
            <w:shd w:val="clear" w:color="auto" w:fill="E7E6E6"/>
          </w:tcPr>
          <w:p w14:paraId="29613E3F" w14:textId="77777777" w:rsidR="001C332B" w:rsidRPr="005F5C5A" w:rsidRDefault="001C332B" w:rsidP="006E6B76">
            <w:pPr>
              <w:jc w:val="center"/>
              <w:rPr>
                <w:sz w:val="20"/>
                <w:szCs w:val="22"/>
              </w:rPr>
            </w:pPr>
          </w:p>
        </w:tc>
        <w:tc>
          <w:tcPr>
            <w:tcW w:w="886" w:type="dxa"/>
            <w:shd w:val="clear" w:color="auto" w:fill="FFFFFF"/>
          </w:tcPr>
          <w:p w14:paraId="129DB17C" w14:textId="77777777" w:rsidR="001C332B" w:rsidRPr="005F5C5A" w:rsidRDefault="008352E7" w:rsidP="006E6B76">
            <w:pPr>
              <w:jc w:val="center"/>
              <w:rPr>
                <w:sz w:val="20"/>
                <w:szCs w:val="22"/>
              </w:rPr>
            </w:pPr>
            <w:r w:rsidRPr="005F5C5A">
              <w:rPr>
                <w:sz w:val="20"/>
                <w:szCs w:val="22"/>
              </w:rPr>
              <w:t>14.3%</w:t>
            </w:r>
          </w:p>
        </w:tc>
        <w:tc>
          <w:tcPr>
            <w:tcW w:w="1028" w:type="dxa"/>
            <w:shd w:val="clear" w:color="auto" w:fill="FFFFFF"/>
          </w:tcPr>
          <w:p w14:paraId="46AE972C" w14:textId="77777777" w:rsidR="001C332B" w:rsidRPr="005F5C5A" w:rsidRDefault="008352E7" w:rsidP="006E6B76">
            <w:pPr>
              <w:jc w:val="center"/>
              <w:rPr>
                <w:sz w:val="20"/>
                <w:szCs w:val="22"/>
              </w:rPr>
            </w:pPr>
            <w:r w:rsidRPr="005F5C5A">
              <w:rPr>
                <w:sz w:val="20"/>
                <w:szCs w:val="22"/>
              </w:rPr>
              <w:t>0%</w:t>
            </w:r>
          </w:p>
        </w:tc>
        <w:tc>
          <w:tcPr>
            <w:tcW w:w="936" w:type="dxa"/>
            <w:shd w:val="clear" w:color="auto" w:fill="FFFFFF"/>
          </w:tcPr>
          <w:p w14:paraId="32EA4482" w14:textId="77777777" w:rsidR="001C332B" w:rsidRPr="005F5C5A" w:rsidRDefault="008352E7" w:rsidP="006E6B76">
            <w:pPr>
              <w:jc w:val="center"/>
              <w:rPr>
                <w:sz w:val="20"/>
                <w:szCs w:val="22"/>
              </w:rPr>
            </w:pPr>
            <w:r w:rsidRPr="005F5C5A">
              <w:rPr>
                <w:sz w:val="20"/>
                <w:szCs w:val="22"/>
              </w:rPr>
              <w:t>1 (1)</w:t>
            </w:r>
          </w:p>
        </w:tc>
      </w:tr>
      <w:tr w:rsidR="001C332B" w14:paraId="69A07F1C" w14:textId="77777777" w:rsidTr="006E6B76">
        <w:trPr>
          <w:trHeight w:val="113"/>
        </w:trPr>
        <w:tc>
          <w:tcPr>
            <w:tcW w:w="1276" w:type="dxa"/>
            <w:vMerge/>
          </w:tcPr>
          <w:p w14:paraId="6A67BBAD" w14:textId="77777777" w:rsidR="001C332B" w:rsidRDefault="001C332B" w:rsidP="006E6B76">
            <w:pPr>
              <w:widowControl w:val="0"/>
              <w:rPr>
                <w:sz w:val="22"/>
                <w:szCs w:val="22"/>
              </w:rPr>
            </w:pPr>
          </w:p>
        </w:tc>
        <w:tc>
          <w:tcPr>
            <w:tcW w:w="1134" w:type="dxa"/>
            <w:shd w:val="clear" w:color="auto" w:fill="E7E6E6"/>
          </w:tcPr>
          <w:p w14:paraId="2897CD37" w14:textId="77777777" w:rsidR="001C332B" w:rsidRDefault="008352E7" w:rsidP="006E6B76">
            <w:pPr>
              <w:rPr>
                <w:sz w:val="22"/>
                <w:szCs w:val="22"/>
              </w:rPr>
            </w:pPr>
            <w:r>
              <w:rPr>
                <w:b/>
                <w:sz w:val="22"/>
                <w:szCs w:val="22"/>
              </w:rPr>
              <w:t>Jug r 2</w:t>
            </w:r>
          </w:p>
        </w:tc>
        <w:tc>
          <w:tcPr>
            <w:tcW w:w="851" w:type="dxa"/>
          </w:tcPr>
          <w:p w14:paraId="62A88A00" w14:textId="77777777" w:rsidR="001C332B" w:rsidRPr="005F5C5A" w:rsidRDefault="008352E7" w:rsidP="006E6B76">
            <w:pPr>
              <w:jc w:val="center"/>
              <w:rPr>
                <w:sz w:val="20"/>
                <w:szCs w:val="22"/>
              </w:rPr>
            </w:pPr>
            <w:r w:rsidRPr="005F5C5A">
              <w:rPr>
                <w:sz w:val="20"/>
                <w:szCs w:val="22"/>
              </w:rPr>
              <w:t>17.9%</w:t>
            </w:r>
          </w:p>
        </w:tc>
        <w:tc>
          <w:tcPr>
            <w:tcW w:w="992" w:type="dxa"/>
          </w:tcPr>
          <w:p w14:paraId="76C305BA" w14:textId="77777777" w:rsidR="001C332B" w:rsidRPr="005F5C5A" w:rsidRDefault="008352E7" w:rsidP="006E6B76">
            <w:pPr>
              <w:jc w:val="center"/>
              <w:rPr>
                <w:sz w:val="20"/>
                <w:szCs w:val="22"/>
              </w:rPr>
            </w:pPr>
            <w:r w:rsidRPr="005F5C5A">
              <w:rPr>
                <w:sz w:val="20"/>
                <w:szCs w:val="22"/>
              </w:rPr>
              <w:t>0%</w:t>
            </w:r>
          </w:p>
        </w:tc>
        <w:tc>
          <w:tcPr>
            <w:tcW w:w="859" w:type="dxa"/>
            <w:shd w:val="clear" w:color="auto" w:fill="E7E6E6"/>
          </w:tcPr>
          <w:p w14:paraId="32BFA7B5" w14:textId="77777777" w:rsidR="001C332B" w:rsidRPr="005F5C5A" w:rsidRDefault="001C332B" w:rsidP="006E6B76">
            <w:pPr>
              <w:jc w:val="center"/>
              <w:rPr>
                <w:sz w:val="20"/>
                <w:szCs w:val="22"/>
              </w:rPr>
            </w:pPr>
          </w:p>
        </w:tc>
        <w:tc>
          <w:tcPr>
            <w:tcW w:w="960" w:type="dxa"/>
            <w:shd w:val="clear" w:color="auto" w:fill="E7E6E6"/>
          </w:tcPr>
          <w:p w14:paraId="7D919D65" w14:textId="77777777" w:rsidR="001C332B" w:rsidRPr="005F5C5A" w:rsidRDefault="001C332B" w:rsidP="006E6B76">
            <w:pPr>
              <w:jc w:val="center"/>
              <w:rPr>
                <w:sz w:val="20"/>
                <w:szCs w:val="22"/>
              </w:rPr>
            </w:pPr>
          </w:p>
        </w:tc>
        <w:tc>
          <w:tcPr>
            <w:tcW w:w="945" w:type="dxa"/>
            <w:shd w:val="clear" w:color="auto" w:fill="E7E6E6"/>
          </w:tcPr>
          <w:p w14:paraId="5650394E" w14:textId="77777777" w:rsidR="001C332B" w:rsidRPr="005F5C5A" w:rsidRDefault="001C332B" w:rsidP="006E6B76">
            <w:pPr>
              <w:jc w:val="center"/>
              <w:rPr>
                <w:sz w:val="20"/>
                <w:szCs w:val="22"/>
              </w:rPr>
            </w:pPr>
          </w:p>
        </w:tc>
        <w:tc>
          <w:tcPr>
            <w:tcW w:w="886" w:type="dxa"/>
            <w:shd w:val="clear" w:color="auto" w:fill="FFFFFF"/>
          </w:tcPr>
          <w:p w14:paraId="5EB34ADD" w14:textId="77777777" w:rsidR="001C332B" w:rsidRPr="005F5C5A" w:rsidRDefault="008352E7" w:rsidP="006E6B76">
            <w:pPr>
              <w:jc w:val="center"/>
              <w:rPr>
                <w:sz w:val="20"/>
                <w:szCs w:val="22"/>
              </w:rPr>
            </w:pPr>
            <w:r w:rsidRPr="005F5C5A">
              <w:rPr>
                <w:sz w:val="20"/>
                <w:szCs w:val="22"/>
              </w:rPr>
              <w:t>17.9%</w:t>
            </w:r>
          </w:p>
        </w:tc>
        <w:tc>
          <w:tcPr>
            <w:tcW w:w="1028" w:type="dxa"/>
            <w:shd w:val="clear" w:color="auto" w:fill="FFFFFF"/>
          </w:tcPr>
          <w:p w14:paraId="1F4BDED9" w14:textId="77777777" w:rsidR="001C332B" w:rsidRPr="005F5C5A" w:rsidRDefault="008352E7" w:rsidP="006E6B76">
            <w:pPr>
              <w:jc w:val="center"/>
              <w:rPr>
                <w:sz w:val="20"/>
                <w:szCs w:val="22"/>
              </w:rPr>
            </w:pPr>
            <w:r w:rsidRPr="005F5C5A">
              <w:rPr>
                <w:sz w:val="20"/>
                <w:szCs w:val="22"/>
              </w:rPr>
              <w:t>4.4%</w:t>
            </w:r>
          </w:p>
        </w:tc>
        <w:tc>
          <w:tcPr>
            <w:tcW w:w="936" w:type="dxa"/>
            <w:shd w:val="clear" w:color="auto" w:fill="FFFFFF"/>
          </w:tcPr>
          <w:p w14:paraId="3CB0E726" w14:textId="77777777" w:rsidR="001C332B" w:rsidRPr="005F5C5A" w:rsidRDefault="008352E7" w:rsidP="006E6B76">
            <w:pPr>
              <w:jc w:val="center"/>
              <w:rPr>
                <w:sz w:val="20"/>
                <w:szCs w:val="22"/>
              </w:rPr>
            </w:pPr>
            <w:r w:rsidRPr="005F5C5A">
              <w:rPr>
                <w:sz w:val="20"/>
                <w:szCs w:val="22"/>
              </w:rPr>
              <w:t>0.694 (1)</w:t>
            </w:r>
          </w:p>
        </w:tc>
      </w:tr>
      <w:tr w:rsidR="001C332B" w14:paraId="2E9E2754" w14:textId="77777777" w:rsidTr="006E6B76">
        <w:trPr>
          <w:trHeight w:val="113"/>
        </w:trPr>
        <w:tc>
          <w:tcPr>
            <w:tcW w:w="1276" w:type="dxa"/>
            <w:vMerge/>
          </w:tcPr>
          <w:p w14:paraId="4D393B00" w14:textId="77777777" w:rsidR="001C332B" w:rsidRDefault="001C332B" w:rsidP="006E6B76">
            <w:pPr>
              <w:widowControl w:val="0"/>
              <w:rPr>
                <w:sz w:val="22"/>
                <w:szCs w:val="22"/>
              </w:rPr>
            </w:pPr>
          </w:p>
        </w:tc>
        <w:tc>
          <w:tcPr>
            <w:tcW w:w="1134" w:type="dxa"/>
            <w:shd w:val="clear" w:color="auto" w:fill="E7E6E6"/>
          </w:tcPr>
          <w:p w14:paraId="27994312" w14:textId="77777777" w:rsidR="001C332B" w:rsidRDefault="008352E7" w:rsidP="006E6B76">
            <w:pPr>
              <w:rPr>
                <w:sz w:val="22"/>
                <w:szCs w:val="22"/>
              </w:rPr>
            </w:pPr>
            <w:r>
              <w:rPr>
                <w:b/>
                <w:sz w:val="22"/>
                <w:szCs w:val="22"/>
              </w:rPr>
              <w:t>Jug r 3</w:t>
            </w:r>
          </w:p>
        </w:tc>
        <w:tc>
          <w:tcPr>
            <w:tcW w:w="851" w:type="dxa"/>
          </w:tcPr>
          <w:p w14:paraId="3DAEDBBC" w14:textId="77777777" w:rsidR="001C332B" w:rsidRPr="005F5C5A" w:rsidRDefault="008352E7" w:rsidP="006E6B76">
            <w:pPr>
              <w:jc w:val="center"/>
              <w:rPr>
                <w:sz w:val="20"/>
                <w:szCs w:val="22"/>
              </w:rPr>
            </w:pPr>
            <w:r w:rsidRPr="005F5C5A">
              <w:rPr>
                <w:sz w:val="20"/>
                <w:szCs w:val="22"/>
              </w:rPr>
              <w:t>46.4%</w:t>
            </w:r>
          </w:p>
        </w:tc>
        <w:tc>
          <w:tcPr>
            <w:tcW w:w="992" w:type="dxa"/>
          </w:tcPr>
          <w:p w14:paraId="78309F19" w14:textId="77777777" w:rsidR="001C332B" w:rsidRPr="005F5C5A" w:rsidRDefault="008352E7" w:rsidP="006E6B76">
            <w:pPr>
              <w:jc w:val="center"/>
              <w:rPr>
                <w:sz w:val="20"/>
                <w:szCs w:val="22"/>
              </w:rPr>
            </w:pPr>
            <w:r w:rsidRPr="005F5C5A">
              <w:rPr>
                <w:sz w:val="20"/>
                <w:szCs w:val="22"/>
              </w:rPr>
              <w:t>0%</w:t>
            </w:r>
          </w:p>
        </w:tc>
        <w:tc>
          <w:tcPr>
            <w:tcW w:w="859" w:type="dxa"/>
            <w:shd w:val="clear" w:color="auto" w:fill="FFFFFF"/>
          </w:tcPr>
          <w:p w14:paraId="7C54802F" w14:textId="77777777" w:rsidR="001C332B" w:rsidRPr="005F5C5A" w:rsidRDefault="008352E7" w:rsidP="006E6B76">
            <w:pPr>
              <w:jc w:val="center"/>
              <w:rPr>
                <w:sz w:val="20"/>
                <w:szCs w:val="22"/>
              </w:rPr>
            </w:pPr>
            <w:r w:rsidRPr="005F5C5A">
              <w:rPr>
                <w:sz w:val="20"/>
                <w:szCs w:val="22"/>
              </w:rPr>
              <w:t>64.3%</w:t>
            </w:r>
          </w:p>
        </w:tc>
        <w:tc>
          <w:tcPr>
            <w:tcW w:w="960" w:type="dxa"/>
            <w:shd w:val="clear" w:color="auto" w:fill="FFFFFF"/>
          </w:tcPr>
          <w:p w14:paraId="50C67FE3" w14:textId="77777777" w:rsidR="001C332B" w:rsidRPr="005F5C5A" w:rsidRDefault="008352E7" w:rsidP="006E6B76">
            <w:pPr>
              <w:jc w:val="center"/>
              <w:rPr>
                <w:sz w:val="20"/>
                <w:szCs w:val="22"/>
              </w:rPr>
            </w:pPr>
            <w:r w:rsidRPr="005F5C5A">
              <w:rPr>
                <w:sz w:val="20"/>
                <w:szCs w:val="22"/>
              </w:rPr>
              <w:t>0%</w:t>
            </w:r>
          </w:p>
        </w:tc>
        <w:tc>
          <w:tcPr>
            <w:tcW w:w="945" w:type="dxa"/>
            <w:shd w:val="clear" w:color="auto" w:fill="FFFFFF"/>
          </w:tcPr>
          <w:p w14:paraId="6A250832" w14:textId="77777777" w:rsidR="001C332B" w:rsidRPr="005F5C5A" w:rsidRDefault="008352E7" w:rsidP="006E6B76">
            <w:pPr>
              <w:jc w:val="center"/>
              <w:rPr>
                <w:b/>
                <w:sz w:val="20"/>
                <w:szCs w:val="22"/>
              </w:rPr>
            </w:pPr>
            <w:r w:rsidRPr="005F5C5A">
              <w:rPr>
                <w:b/>
                <w:sz w:val="20"/>
                <w:szCs w:val="22"/>
              </w:rPr>
              <w:t>0.771 (0.063)</w:t>
            </w:r>
          </w:p>
        </w:tc>
        <w:tc>
          <w:tcPr>
            <w:tcW w:w="886" w:type="dxa"/>
            <w:shd w:val="clear" w:color="auto" w:fill="FFFFFF"/>
          </w:tcPr>
          <w:p w14:paraId="29B8531D" w14:textId="77777777" w:rsidR="001C332B" w:rsidRPr="005F5C5A" w:rsidRDefault="008352E7" w:rsidP="006E6B76">
            <w:pPr>
              <w:jc w:val="center"/>
              <w:rPr>
                <w:sz w:val="20"/>
                <w:szCs w:val="22"/>
              </w:rPr>
            </w:pPr>
            <w:r w:rsidRPr="005F5C5A">
              <w:rPr>
                <w:sz w:val="20"/>
                <w:szCs w:val="22"/>
              </w:rPr>
              <w:t>67.9%</w:t>
            </w:r>
          </w:p>
        </w:tc>
        <w:tc>
          <w:tcPr>
            <w:tcW w:w="1028" w:type="dxa"/>
            <w:shd w:val="clear" w:color="auto" w:fill="FFFFFF"/>
          </w:tcPr>
          <w:p w14:paraId="1F59370F" w14:textId="77777777" w:rsidR="001C332B" w:rsidRPr="005F5C5A" w:rsidRDefault="008352E7" w:rsidP="006E6B76">
            <w:pPr>
              <w:jc w:val="center"/>
              <w:rPr>
                <w:sz w:val="20"/>
                <w:szCs w:val="22"/>
              </w:rPr>
            </w:pPr>
            <w:r w:rsidRPr="005F5C5A">
              <w:rPr>
                <w:sz w:val="20"/>
                <w:szCs w:val="22"/>
              </w:rPr>
              <w:t>0%</w:t>
            </w:r>
          </w:p>
        </w:tc>
        <w:tc>
          <w:tcPr>
            <w:tcW w:w="936" w:type="dxa"/>
            <w:shd w:val="clear" w:color="auto" w:fill="FFFFFF"/>
          </w:tcPr>
          <w:p w14:paraId="3CA204C7" w14:textId="77777777" w:rsidR="001C332B" w:rsidRPr="005F5C5A" w:rsidRDefault="008352E7" w:rsidP="006E6B76">
            <w:pPr>
              <w:jc w:val="center"/>
              <w:rPr>
                <w:b/>
                <w:sz w:val="20"/>
                <w:szCs w:val="22"/>
              </w:rPr>
            </w:pPr>
            <w:r w:rsidRPr="005F5C5A">
              <w:rPr>
                <w:b/>
                <w:sz w:val="20"/>
                <w:szCs w:val="22"/>
              </w:rPr>
              <w:t>0.642 (0.07)</w:t>
            </w:r>
          </w:p>
        </w:tc>
      </w:tr>
      <w:tr w:rsidR="001C332B" w14:paraId="4D705CB9" w14:textId="77777777" w:rsidTr="006E6B76">
        <w:trPr>
          <w:trHeight w:val="113"/>
        </w:trPr>
        <w:tc>
          <w:tcPr>
            <w:tcW w:w="1276" w:type="dxa"/>
            <w:vMerge/>
          </w:tcPr>
          <w:p w14:paraId="04577D9D" w14:textId="77777777" w:rsidR="001C332B" w:rsidRDefault="001C332B" w:rsidP="006E6B76">
            <w:pPr>
              <w:widowControl w:val="0"/>
              <w:rPr>
                <w:b/>
                <w:sz w:val="22"/>
                <w:szCs w:val="22"/>
              </w:rPr>
            </w:pPr>
          </w:p>
        </w:tc>
        <w:tc>
          <w:tcPr>
            <w:tcW w:w="1134" w:type="dxa"/>
            <w:shd w:val="clear" w:color="auto" w:fill="E7E6E6"/>
          </w:tcPr>
          <w:p w14:paraId="2B7A9713" w14:textId="77777777" w:rsidR="001C332B" w:rsidRDefault="008352E7" w:rsidP="006E6B76">
            <w:pPr>
              <w:rPr>
                <w:sz w:val="22"/>
                <w:szCs w:val="22"/>
              </w:rPr>
            </w:pPr>
            <w:r>
              <w:rPr>
                <w:b/>
                <w:sz w:val="22"/>
                <w:szCs w:val="22"/>
              </w:rPr>
              <w:t>Jug r 4</w:t>
            </w:r>
          </w:p>
        </w:tc>
        <w:tc>
          <w:tcPr>
            <w:tcW w:w="851" w:type="dxa"/>
          </w:tcPr>
          <w:p w14:paraId="19027FBC" w14:textId="77777777" w:rsidR="001C332B" w:rsidRPr="005F5C5A" w:rsidRDefault="008352E7" w:rsidP="006E6B76">
            <w:pPr>
              <w:jc w:val="center"/>
              <w:rPr>
                <w:sz w:val="20"/>
                <w:szCs w:val="22"/>
              </w:rPr>
            </w:pPr>
            <w:r w:rsidRPr="005F5C5A">
              <w:rPr>
                <w:sz w:val="20"/>
                <w:szCs w:val="22"/>
              </w:rPr>
              <w:t>10.7%</w:t>
            </w:r>
          </w:p>
        </w:tc>
        <w:tc>
          <w:tcPr>
            <w:tcW w:w="992" w:type="dxa"/>
          </w:tcPr>
          <w:p w14:paraId="0FEAFBE2" w14:textId="77777777" w:rsidR="001C332B" w:rsidRPr="005F5C5A" w:rsidRDefault="008352E7" w:rsidP="006E6B76">
            <w:pPr>
              <w:jc w:val="center"/>
              <w:rPr>
                <w:sz w:val="20"/>
                <w:szCs w:val="22"/>
              </w:rPr>
            </w:pPr>
            <w:r w:rsidRPr="005F5C5A">
              <w:rPr>
                <w:sz w:val="20"/>
                <w:szCs w:val="22"/>
              </w:rPr>
              <w:t>0%</w:t>
            </w:r>
          </w:p>
        </w:tc>
        <w:tc>
          <w:tcPr>
            <w:tcW w:w="859" w:type="dxa"/>
            <w:shd w:val="clear" w:color="auto" w:fill="E7E6E6"/>
          </w:tcPr>
          <w:p w14:paraId="44CDC380" w14:textId="77777777" w:rsidR="001C332B" w:rsidRPr="005F5C5A" w:rsidRDefault="001C332B" w:rsidP="006E6B76">
            <w:pPr>
              <w:jc w:val="center"/>
              <w:rPr>
                <w:sz w:val="20"/>
                <w:szCs w:val="22"/>
              </w:rPr>
            </w:pPr>
          </w:p>
        </w:tc>
        <w:tc>
          <w:tcPr>
            <w:tcW w:w="960" w:type="dxa"/>
            <w:shd w:val="clear" w:color="auto" w:fill="E7E6E6"/>
          </w:tcPr>
          <w:p w14:paraId="24D1DA65" w14:textId="77777777" w:rsidR="001C332B" w:rsidRPr="005F5C5A" w:rsidRDefault="001C332B" w:rsidP="006E6B76">
            <w:pPr>
              <w:jc w:val="center"/>
              <w:rPr>
                <w:sz w:val="20"/>
                <w:szCs w:val="22"/>
              </w:rPr>
            </w:pPr>
          </w:p>
        </w:tc>
        <w:tc>
          <w:tcPr>
            <w:tcW w:w="945" w:type="dxa"/>
            <w:shd w:val="clear" w:color="auto" w:fill="E7E6E6"/>
          </w:tcPr>
          <w:p w14:paraId="21B426D1" w14:textId="77777777" w:rsidR="001C332B" w:rsidRPr="005F5C5A" w:rsidRDefault="001C332B" w:rsidP="006E6B76">
            <w:pPr>
              <w:jc w:val="center"/>
              <w:rPr>
                <w:sz w:val="20"/>
                <w:szCs w:val="22"/>
              </w:rPr>
            </w:pPr>
          </w:p>
        </w:tc>
        <w:tc>
          <w:tcPr>
            <w:tcW w:w="886" w:type="dxa"/>
            <w:shd w:val="clear" w:color="auto" w:fill="E7E6E6"/>
          </w:tcPr>
          <w:p w14:paraId="1741D667" w14:textId="77777777" w:rsidR="001C332B" w:rsidRPr="005F5C5A" w:rsidRDefault="001C332B" w:rsidP="006E6B76">
            <w:pPr>
              <w:jc w:val="center"/>
              <w:rPr>
                <w:sz w:val="20"/>
                <w:szCs w:val="22"/>
              </w:rPr>
            </w:pPr>
          </w:p>
        </w:tc>
        <w:tc>
          <w:tcPr>
            <w:tcW w:w="1028" w:type="dxa"/>
            <w:shd w:val="clear" w:color="auto" w:fill="E7E6E6"/>
          </w:tcPr>
          <w:p w14:paraId="53CAE2EA" w14:textId="77777777" w:rsidR="001C332B" w:rsidRPr="005F5C5A" w:rsidRDefault="001C332B" w:rsidP="006E6B76">
            <w:pPr>
              <w:jc w:val="center"/>
              <w:rPr>
                <w:sz w:val="20"/>
                <w:szCs w:val="22"/>
              </w:rPr>
            </w:pPr>
          </w:p>
        </w:tc>
        <w:tc>
          <w:tcPr>
            <w:tcW w:w="936" w:type="dxa"/>
            <w:shd w:val="clear" w:color="auto" w:fill="E7E6E6"/>
          </w:tcPr>
          <w:p w14:paraId="29701F60" w14:textId="77777777" w:rsidR="001C332B" w:rsidRPr="005F5C5A" w:rsidRDefault="001C332B" w:rsidP="006E6B76">
            <w:pPr>
              <w:jc w:val="center"/>
              <w:rPr>
                <w:sz w:val="20"/>
                <w:szCs w:val="22"/>
              </w:rPr>
            </w:pPr>
          </w:p>
        </w:tc>
      </w:tr>
      <w:tr w:rsidR="001C332B" w14:paraId="19B0998B" w14:textId="77777777" w:rsidTr="006E6B76">
        <w:trPr>
          <w:trHeight w:val="113"/>
        </w:trPr>
        <w:tc>
          <w:tcPr>
            <w:tcW w:w="1276" w:type="dxa"/>
            <w:vMerge/>
          </w:tcPr>
          <w:p w14:paraId="6AA1FD8C" w14:textId="77777777" w:rsidR="001C332B" w:rsidRDefault="001C332B" w:rsidP="006E6B76">
            <w:pPr>
              <w:widowControl w:val="0"/>
              <w:rPr>
                <w:sz w:val="22"/>
                <w:szCs w:val="22"/>
              </w:rPr>
            </w:pPr>
          </w:p>
        </w:tc>
        <w:tc>
          <w:tcPr>
            <w:tcW w:w="1134" w:type="dxa"/>
            <w:shd w:val="clear" w:color="auto" w:fill="E7E6E6"/>
          </w:tcPr>
          <w:p w14:paraId="6388C39E" w14:textId="77777777" w:rsidR="001C332B" w:rsidRDefault="008352E7" w:rsidP="006E6B76">
            <w:pPr>
              <w:rPr>
                <w:b/>
                <w:sz w:val="22"/>
                <w:szCs w:val="22"/>
              </w:rPr>
            </w:pPr>
            <w:r>
              <w:rPr>
                <w:b/>
                <w:sz w:val="22"/>
                <w:szCs w:val="22"/>
              </w:rPr>
              <w:t>Jug r 6</w:t>
            </w:r>
          </w:p>
        </w:tc>
        <w:tc>
          <w:tcPr>
            <w:tcW w:w="851" w:type="dxa"/>
          </w:tcPr>
          <w:p w14:paraId="10C5637C" w14:textId="77777777" w:rsidR="001C332B" w:rsidRPr="005F5C5A" w:rsidRDefault="008352E7" w:rsidP="006E6B76">
            <w:pPr>
              <w:jc w:val="center"/>
              <w:rPr>
                <w:sz w:val="20"/>
                <w:szCs w:val="22"/>
              </w:rPr>
            </w:pPr>
            <w:r w:rsidRPr="005F5C5A">
              <w:rPr>
                <w:sz w:val="20"/>
                <w:szCs w:val="22"/>
              </w:rPr>
              <w:t>14.3%</w:t>
            </w:r>
          </w:p>
        </w:tc>
        <w:tc>
          <w:tcPr>
            <w:tcW w:w="992" w:type="dxa"/>
          </w:tcPr>
          <w:p w14:paraId="7F8652C7" w14:textId="77777777" w:rsidR="001C332B" w:rsidRPr="005F5C5A" w:rsidRDefault="008352E7" w:rsidP="006E6B76">
            <w:pPr>
              <w:jc w:val="center"/>
              <w:rPr>
                <w:sz w:val="20"/>
                <w:szCs w:val="22"/>
              </w:rPr>
            </w:pPr>
            <w:r w:rsidRPr="005F5C5A">
              <w:rPr>
                <w:sz w:val="20"/>
                <w:szCs w:val="22"/>
              </w:rPr>
              <w:t>0%</w:t>
            </w:r>
          </w:p>
        </w:tc>
        <w:tc>
          <w:tcPr>
            <w:tcW w:w="859" w:type="dxa"/>
            <w:shd w:val="clear" w:color="auto" w:fill="E7E6E6"/>
          </w:tcPr>
          <w:p w14:paraId="5F22881D" w14:textId="77777777" w:rsidR="001C332B" w:rsidRPr="005F5C5A" w:rsidRDefault="001C332B" w:rsidP="006E6B76">
            <w:pPr>
              <w:jc w:val="center"/>
              <w:rPr>
                <w:sz w:val="20"/>
                <w:szCs w:val="22"/>
              </w:rPr>
            </w:pPr>
          </w:p>
        </w:tc>
        <w:tc>
          <w:tcPr>
            <w:tcW w:w="960" w:type="dxa"/>
            <w:shd w:val="clear" w:color="auto" w:fill="E7E6E6"/>
          </w:tcPr>
          <w:p w14:paraId="4ACCA90F" w14:textId="77777777" w:rsidR="001C332B" w:rsidRPr="005F5C5A" w:rsidRDefault="001C332B" w:rsidP="006E6B76">
            <w:pPr>
              <w:jc w:val="center"/>
              <w:rPr>
                <w:sz w:val="20"/>
                <w:szCs w:val="22"/>
              </w:rPr>
            </w:pPr>
          </w:p>
        </w:tc>
        <w:tc>
          <w:tcPr>
            <w:tcW w:w="945" w:type="dxa"/>
            <w:shd w:val="clear" w:color="auto" w:fill="E7E6E6"/>
          </w:tcPr>
          <w:p w14:paraId="287E8D33" w14:textId="77777777" w:rsidR="001C332B" w:rsidRPr="005F5C5A" w:rsidRDefault="001C332B" w:rsidP="006E6B76">
            <w:pPr>
              <w:jc w:val="center"/>
              <w:rPr>
                <w:sz w:val="20"/>
                <w:szCs w:val="22"/>
              </w:rPr>
            </w:pPr>
          </w:p>
        </w:tc>
        <w:tc>
          <w:tcPr>
            <w:tcW w:w="886" w:type="dxa"/>
            <w:shd w:val="clear" w:color="auto" w:fill="E7E6E6"/>
          </w:tcPr>
          <w:p w14:paraId="19FBB4D2" w14:textId="77777777" w:rsidR="001C332B" w:rsidRPr="005F5C5A" w:rsidRDefault="001C332B" w:rsidP="006E6B76">
            <w:pPr>
              <w:jc w:val="center"/>
              <w:rPr>
                <w:sz w:val="20"/>
                <w:szCs w:val="22"/>
              </w:rPr>
            </w:pPr>
          </w:p>
        </w:tc>
        <w:tc>
          <w:tcPr>
            <w:tcW w:w="1028" w:type="dxa"/>
            <w:shd w:val="clear" w:color="auto" w:fill="E7E6E6"/>
          </w:tcPr>
          <w:p w14:paraId="6854A737" w14:textId="77777777" w:rsidR="001C332B" w:rsidRPr="005F5C5A" w:rsidRDefault="001C332B" w:rsidP="006E6B76">
            <w:pPr>
              <w:jc w:val="center"/>
              <w:rPr>
                <w:sz w:val="20"/>
                <w:szCs w:val="22"/>
              </w:rPr>
            </w:pPr>
          </w:p>
        </w:tc>
        <w:tc>
          <w:tcPr>
            <w:tcW w:w="936" w:type="dxa"/>
            <w:shd w:val="clear" w:color="auto" w:fill="E7E6E6"/>
          </w:tcPr>
          <w:p w14:paraId="129FDB66" w14:textId="77777777" w:rsidR="001C332B" w:rsidRPr="005F5C5A" w:rsidRDefault="001C332B" w:rsidP="006E6B76">
            <w:pPr>
              <w:jc w:val="center"/>
              <w:rPr>
                <w:sz w:val="20"/>
                <w:szCs w:val="22"/>
              </w:rPr>
            </w:pPr>
          </w:p>
        </w:tc>
      </w:tr>
      <w:tr w:rsidR="001C332B" w14:paraId="1A70FF3F" w14:textId="77777777" w:rsidTr="006E6B76">
        <w:trPr>
          <w:trHeight w:val="113"/>
        </w:trPr>
        <w:tc>
          <w:tcPr>
            <w:tcW w:w="1276" w:type="dxa"/>
            <w:vMerge w:val="restart"/>
          </w:tcPr>
          <w:p w14:paraId="26FF39E5" w14:textId="77777777" w:rsidR="001C332B" w:rsidRDefault="008352E7" w:rsidP="006E6B76">
            <w:pPr>
              <w:rPr>
                <w:sz w:val="18"/>
                <w:szCs w:val="18"/>
              </w:rPr>
            </w:pPr>
            <w:r>
              <w:rPr>
                <w:b/>
                <w:sz w:val="18"/>
                <w:szCs w:val="18"/>
              </w:rPr>
              <w:t>Hazelnut</w:t>
            </w:r>
          </w:p>
        </w:tc>
        <w:tc>
          <w:tcPr>
            <w:tcW w:w="1134" w:type="dxa"/>
            <w:shd w:val="clear" w:color="auto" w:fill="E7E6E6"/>
          </w:tcPr>
          <w:p w14:paraId="285CDC36" w14:textId="77777777" w:rsidR="001C332B" w:rsidRDefault="008352E7" w:rsidP="006E6B76">
            <w:pPr>
              <w:rPr>
                <w:sz w:val="22"/>
                <w:szCs w:val="22"/>
              </w:rPr>
            </w:pPr>
            <w:r>
              <w:rPr>
                <w:b/>
                <w:sz w:val="22"/>
                <w:szCs w:val="22"/>
              </w:rPr>
              <w:t>Cor a 1.0401</w:t>
            </w:r>
          </w:p>
        </w:tc>
        <w:tc>
          <w:tcPr>
            <w:tcW w:w="851" w:type="dxa"/>
          </w:tcPr>
          <w:p w14:paraId="0D78CB2D" w14:textId="77777777" w:rsidR="001C332B" w:rsidRPr="005F5C5A" w:rsidRDefault="008352E7" w:rsidP="006E6B76">
            <w:pPr>
              <w:jc w:val="center"/>
              <w:rPr>
                <w:sz w:val="20"/>
                <w:szCs w:val="22"/>
              </w:rPr>
            </w:pPr>
            <w:r w:rsidRPr="005F5C5A">
              <w:rPr>
                <w:sz w:val="20"/>
                <w:szCs w:val="22"/>
              </w:rPr>
              <w:t>5%</w:t>
            </w:r>
          </w:p>
        </w:tc>
        <w:tc>
          <w:tcPr>
            <w:tcW w:w="992" w:type="dxa"/>
          </w:tcPr>
          <w:p w14:paraId="6E1742BB" w14:textId="77777777" w:rsidR="001C332B" w:rsidRPr="005F5C5A" w:rsidRDefault="008352E7" w:rsidP="006E6B76">
            <w:pPr>
              <w:jc w:val="center"/>
              <w:rPr>
                <w:sz w:val="20"/>
                <w:szCs w:val="22"/>
              </w:rPr>
            </w:pPr>
            <w:r w:rsidRPr="005F5C5A">
              <w:rPr>
                <w:sz w:val="20"/>
                <w:szCs w:val="22"/>
              </w:rPr>
              <w:t>4.3%</w:t>
            </w:r>
          </w:p>
        </w:tc>
        <w:tc>
          <w:tcPr>
            <w:tcW w:w="859" w:type="dxa"/>
            <w:shd w:val="clear" w:color="auto" w:fill="E7E6E6"/>
          </w:tcPr>
          <w:p w14:paraId="0D67E16B" w14:textId="77777777" w:rsidR="001C332B" w:rsidRPr="005F5C5A" w:rsidRDefault="001C332B" w:rsidP="006E6B76">
            <w:pPr>
              <w:jc w:val="center"/>
              <w:rPr>
                <w:sz w:val="20"/>
                <w:szCs w:val="22"/>
              </w:rPr>
            </w:pPr>
          </w:p>
        </w:tc>
        <w:tc>
          <w:tcPr>
            <w:tcW w:w="960" w:type="dxa"/>
            <w:shd w:val="clear" w:color="auto" w:fill="E7E6E6"/>
          </w:tcPr>
          <w:p w14:paraId="653F857C" w14:textId="77777777" w:rsidR="001C332B" w:rsidRPr="005F5C5A" w:rsidRDefault="001C332B" w:rsidP="006E6B76">
            <w:pPr>
              <w:jc w:val="center"/>
              <w:rPr>
                <w:sz w:val="20"/>
                <w:szCs w:val="22"/>
              </w:rPr>
            </w:pPr>
          </w:p>
        </w:tc>
        <w:tc>
          <w:tcPr>
            <w:tcW w:w="945" w:type="dxa"/>
            <w:shd w:val="clear" w:color="auto" w:fill="E7E6E6"/>
          </w:tcPr>
          <w:p w14:paraId="50F0C80D" w14:textId="77777777" w:rsidR="001C332B" w:rsidRPr="005F5C5A" w:rsidRDefault="001C332B" w:rsidP="006E6B76">
            <w:pPr>
              <w:jc w:val="center"/>
              <w:rPr>
                <w:sz w:val="20"/>
                <w:szCs w:val="22"/>
              </w:rPr>
            </w:pPr>
          </w:p>
        </w:tc>
        <w:tc>
          <w:tcPr>
            <w:tcW w:w="886" w:type="dxa"/>
            <w:shd w:val="clear" w:color="auto" w:fill="FFFFFF"/>
          </w:tcPr>
          <w:p w14:paraId="40378B0A" w14:textId="77777777" w:rsidR="001C332B" w:rsidRPr="005F5C5A" w:rsidRDefault="008352E7" w:rsidP="006E6B76">
            <w:pPr>
              <w:jc w:val="center"/>
              <w:rPr>
                <w:sz w:val="20"/>
                <w:szCs w:val="22"/>
              </w:rPr>
            </w:pPr>
            <w:r w:rsidRPr="005F5C5A">
              <w:rPr>
                <w:sz w:val="20"/>
                <w:szCs w:val="22"/>
              </w:rPr>
              <w:t>5%</w:t>
            </w:r>
          </w:p>
        </w:tc>
        <w:tc>
          <w:tcPr>
            <w:tcW w:w="1028" w:type="dxa"/>
            <w:shd w:val="clear" w:color="auto" w:fill="FFFFFF"/>
          </w:tcPr>
          <w:p w14:paraId="2DDDE330" w14:textId="77777777" w:rsidR="001C332B" w:rsidRPr="005F5C5A" w:rsidRDefault="008352E7" w:rsidP="006E6B76">
            <w:pPr>
              <w:jc w:val="center"/>
              <w:rPr>
                <w:sz w:val="20"/>
                <w:szCs w:val="22"/>
              </w:rPr>
            </w:pPr>
            <w:r w:rsidRPr="005F5C5A">
              <w:rPr>
                <w:sz w:val="20"/>
                <w:szCs w:val="22"/>
              </w:rPr>
              <w:t>0%</w:t>
            </w:r>
          </w:p>
        </w:tc>
        <w:tc>
          <w:tcPr>
            <w:tcW w:w="936" w:type="dxa"/>
            <w:shd w:val="clear" w:color="auto" w:fill="FFFFFF"/>
          </w:tcPr>
          <w:p w14:paraId="34617923" w14:textId="77777777" w:rsidR="001C332B" w:rsidRPr="005F5C5A" w:rsidRDefault="008352E7" w:rsidP="006E6B76">
            <w:pPr>
              <w:jc w:val="center"/>
              <w:rPr>
                <w:sz w:val="20"/>
                <w:szCs w:val="22"/>
              </w:rPr>
            </w:pPr>
            <w:r w:rsidRPr="005F5C5A">
              <w:rPr>
                <w:sz w:val="20"/>
                <w:szCs w:val="22"/>
              </w:rPr>
              <w:t>0.656 (1)</w:t>
            </w:r>
          </w:p>
        </w:tc>
      </w:tr>
      <w:tr w:rsidR="001C332B" w14:paraId="637C8608" w14:textId="77777777" w:rsidTr="006E6B76">
        <w:trPr>
          <w:trHeight w:val="113"/>
        </w:trPr>
        <w:tc>
          <w:tcPr>
            <w:tcW w:w="1276" w:type="dxa"/>
            <w:vMerge/>
          </w:tcPr>
          <w:p w14:paraId="7BFCCAF5" w14:textId="77777777" w:rsidR="001C332B" w:rsidRDefault="001C332B" w:rsidP="006E6B76">
            <w:pPr>
              <w:widowControl w:val="0"/>
              <w:rPr>
                <w:sz w:val="22"/>
                <w:szCs w:val="22"/>
              </w:rPr>
            </w:pPr>
          </w:p>
        </w:tc>
        <w:tc>
          <w:tcPr>
            <w:tcW w:w="1134" w:type="dxa"/>
            <w:shd w:val="clear" w:color="auto" w:fill="E7E6E6"/>
          </w:tcPr>
          <w:p w14:paraId="2C030640" w14:textId="77777777" w:rsidR="001C332B" w:rsidRDefault="008352E7" w:rsidP="006E6B76">
            <w:pPr>
              <w:rPr>
                <w:sz w:val="22"/>
                <w:szCs w:val="22"/>
              </w:rPr>
            </w:pPr>
            <w:r>
              <w:rPr>
                <w:b/>
                <w:sz w:val="22"/>
                <w:szCs w:val="22"/>
              </w:rPr>
              <w:t>Cor a 8</w:t>
            </w:r>
          </w:p>
        </w:tc>
        <w:tc>
          <w:tcPr>
            <w:tcW w:w="851" w:type="dxa"/>
          </w:tcPr>
          <w:p w14:paraId="0B1398CC" w14:textId="77777777" w:rsidR="001C332B" w:rsidRPr="005F5C5A" w:rsidRDefault="008352E7" w:rsidP="006E6B76">
            <w:pPr>
              <w:jc w:val="center"/>
              <w:rPr>
                <w:sz w:val="20"/>
                <w:szCs w:val="22"/>
              </w:rPr>
            </w:pPr>
            <w:r w:rsidRPr="005F5C5A">
              <w:rPr>
                <w:sz w:val="20"/>
                <w:szCs w:val="22"/>
              </w:rPr>
              <w:t>90%</w:t>
            </w:r>
          </w:p>
        </w:tc>
        <w:tc>
          <w:tcPr>
            <w:tcW w:w="992" w:type="dxa"/>
          </w:tcPr>
          <w:p w14:paraId="09D991E5" w14:textId="77777777" w:rsidR="001C332B" w:rsidRPr="005F5C5A" w:rsidRDefault="008352E7" w:rsidP="006E6B76">
            <w:pPr>
              <w:jc w:val="center"/>
              <w:rPr>
                <w:sz w:val="20"/>
                <w:szCs w:val="22"/>
              </w:rPr>
            </w:pPr>
            <w:r w:rsidRPr="005F5C5A">
              <w:rPr>
                <w:sz w:val="20"/>
                <w:szCs w:val="22"/>
              </w:rPr>
              <w:t>0%</w:t>
            </w:r>
          </w:p>
        </w:tc>
        <w:tc>
          <w:tcPr>
            <w:tcW w:w="859" w:type="dxa"/>
            <w:shd w:val="clear" w:color="auto" w:fill="FFFFFF"/>
          </w:tcPr>
          <w:p w14:paraId="7ABEB21D" w14:textId="77777777" w:rsidR="001C332B" w:rsidRPr="005F5C5A" w:rsidRDefault="008352E7" w:rsidP="006E6B76">
            <w:pPr>
              <w:jc w:val="center"/>
              <w:rPr>
                <w:sz w:val="20"/>
                <w:szCs w:val="22"/>
              </w:rPr>
            </w:pPr>
            <w:r w:rsidRPr="005F5C5A">
              <w:rPr>
                <w:sz w:val="20"/>
                <w:szCs w:val="22"/>
              </w:rPr>
              <w:t>90%</w:t>
            </w:r>
          </w:p>
        </w:tc>
        <w:tc>
          <w:tcPr>
            <w:tcW w:w="960" w:type="dxa"/>
            <w:shd w:val="clear" w:color="auto" w:fill="FFFFFF"/>
          </w:tcPr>
          <w:p w14:paraId="00C3FE05" w14:textId="77777777" w:rsidR="001C332B" w:rsidRPr="005F5C5A" w:rsidRDefault="008352E7" w:rsidP="006E6B76">
            <w:pPr>
              <w:jc w:val="center"/>
              <w:rPr>
                <w:sz w:val="20"/>
                <w:szCs w:val="22"/>
              </w:rPr>
            </w:pPr>
            <w:r w:rsidRPr="005F5C5A">
              <w:rPr>
                <w:sz w:val="20"/>
                <w:szCs w:val="22"/>
              </w:rPr>
              <w:t>0%</w:t>
            </w:r>
          </w:p>
        </w:tc>
        <w:tc>
          <w:tcPr>
            <w:tcW w:w="945" w:type="dxa"/>
            <w:shd w:val="clear" w:color="auto" w:fill="FFFFFF"/>
          </w:tcPr>
          <w:p w14:paraId="79F4C67A" w14:textId="77777777" w:rsidR="001C332B" w:rsidRPr="005F5C5A" w:rsidRDefault="008352E7" w:rsidP="006E6B76">
            <w:pPr>
              <w:jc w:val="center"/>
              <w:rPr>
                <w:sz w:val="20"/>
                <w:szCs w:val="22"/>
              </w:rPr>
            </w:pPr>
            <w:r w:rsidRPr="005F5C5A">
              <w:rPr>
                <w:sz w:val="20"/>
                <w:szCs w:val="22"/>
              </w:rPr>
              <w:t>1 (1)</w:t>
            </w:r>
          </w:p>
        </w:tc>
        <w:tc>
          <w:tcPr>
            <w:tcW w:w="886" w:type="dxa"/>
            <w:shd w:val="clear" w:color="auto" w:fill="FFFFFF"/>
          </w:tcPr>
          <w:p w14:paraId="3E6F2D28" w14:textId="77777777" w:rsidR="001C332B" w:rsidRPr="005F5C5A" w:rsidRDefault="008352E7" w:rsidP="006E6B76">
            <w:pPr>
              <w:jc w:val="center"/>
              <w:rPr>
                <w:sz w:val="20"/>
                <w:szCs w:val="22"/>
              </w:rPr>
            </w:pPr>
            <w:r w:rsidRPr="005F5C5A">
              <w:rPr>
                <w:sz w:val="20"/>
                <w:szCs w:val="22"/>
              </w:rPr>
              <w:t>80%</w:t>
            </w:r>
          </w:p>
        </w:tc>
        <w:tc>
          <w:tcPr>
            <w:tcW w:w="1028" w:type="dxa"/>
            <w:shd w:val="clear" w:color="auto" w:fill="FFFFFF"/>
          </w:tcPr>
          <w:p w14:paraId="4A24400E" w14:textId="77777777" w:rsidR="001C332B" w:rsidRPr="005F5C5A" w:rsidRDefault="008352E7" w:rsidP="006E6B76">
            <w:pPr>
              <w:jc w:val="center"/>
              <w:rPr>
                <w:sz w:val="20"/>
                <w:szCs w:val="22"/>
              </w:rPr>
            </w:pPr>
            <w:r w:rsidRPr="005F5C5A">
              <w:rPr>
                <w:sz w:val="20"/>
                <w:szCs w:val="22"/>
              </w:rPr>
              <w:t>0%</w:t>
            </w:r>
          </w:p>
        </w:tc>
        <w:tc>
          <w:tcPr>
            <w:tcW w:w="936" w:type="dxa"/>
            <w:shd w:val="clear" w:color="auto" w:fill="FFFFFF"/>
          </w:tcPr>
          <w:p w14:paraId="6BBA41D5" w14:textId="77777777" w:rsidR="001C332B" w:rsidRPr="005F5C5A" w:rsidRDefault="008352E7" w:rsidP="006E6B76">
            <w:pPr>
              <w:jc w:val="center"/>
              <w:rPr>
                <w:sz w:val="20"/>
                <w:szCs w:val="22"/>
              </w:rPr>
            </w:pPr>
            <w:r w:rsidRPr="005F5C5A">
              <w:rPr>
                <w:sz w:val="20"/>
                <w:szCs w:val="22"/>
              </w:rPr>
              <w:t>0.903 (0.5)</w:t>
            </w:r>
          </w:p>
        </w:tc>
      </w:tr>
      <w:tr w:rsidR="001C332B" w14:paraId="4C7B7688" w14:textId="77777777" w:rsidTr="006E6B76">
        <w:trPr>
          <w:trHeight w:val="113"/>
        </w:trPr>
        <w:tc>
          <w:tcPr>
            <w:tcW w:w="1276" w:type="dxa"/>
            <w:vMerge/>
          </w:tcPr>
          <w:p w14:paraId="3B2ED246" w14:textId="77777777" w:rsidR="001C332B" w:rsidRDefault="001C332B" w:rsidP="006E6B76">
            <w:pPr>
              <w:widowControl w:val="0"/>
              <w:rPr>
                <w:sz w:val="22"/>
                <w:szCs w:val="22"/>
              </w:rPr>
            </w:pPr>
          </w:p>
        </w:tc>
        <w:tc>
          <w:tcPr>
            <w:tcW w:w="1134" w:type="dxa"/>
            <w:shd w:val="clear" w:color="auto" w:fill="E7E6E6"/>
          </w:tcPr>
          <w:p w14:paraId="0E459A74" w14:textId="77777777" w:rsidR="001C332B" w:rsidRDefault="008352E7" w:rsidP="006E6B76">
            <w:pPr>
              <w:rPr>
                <w:sz w:val="22"/>
                <w:szCs w:val="22"/>
              </w:rPr>
            </w:pPr>
            <w:r>
              <w:rPr>
                <w:b/>
                <w:sz w:val="22"/>
                <w:szCs w:val="22"/>
              </w:rPr>
              <w:t>Cor a 9</w:t>
            </w:r>
          </w:p>
        </w:tc>
        <w:tc>
          <w:tcPr>
            <w:tcW w:w="851" w:type="dxa"/>
          </w:tcPr>
          <w:p w14:paraId="1F431182" w14:textId="77777777" w:rsidR="001C332B" w:rsidRPr="005F5C5A" w:rsidRDefault="008352E7" w:rsidP="006E6B76">
            <w:pPr>
              <w:jc w:val="center"/>
              <w:rPr>
                <w:sz w:val="20"/>
                <w:szCs w:val="22"/>
              </w:rPr>
            </w:pPr>
            <w:r w:rsidRPr="005F5C5A">
              <w:rPr>
                <w:sz w:val="20"/>
                <w:szCs w:val="22"/>
              </w:rPr>
              <w:t>5%</w:t>
            </w:r>
          </w:p>
        </w:tc>
        <w:tc>
          <w:tcPr>
            <w:tcW w:w="992" w:type="dxa"/>
          </w:tcPr>
          <w:p w14:paraId="6B0378FF" w14:textId="77777777" w:rsidR="001C332B" w:rsidRPr="005F5C5A" w:rsidRDefault="008352E7" w:rsidP="006E6B76">
            <w:pPr>
              <w:jc w:val="center"/>
              <w:rPr>
                <w:sz w:val="20"/>
                <w:szCs w:val="22"/>
              </w:rPr>
            </w:pPr>
            <w:r w:rsidRPr="005F5C5A">
              <w:rPr>
                <w:sz w:val="20"/>
                <w:szCs w:val="22"/>
              </w:rPr>
              <w:t>0%</w:t>
            </w:r>
          </w:p>
        </w:tc>
        <w:tc>
          <w:tcPr>
            <w:tcW w:w="859" w:type="dxa"/>
            <w:shd w:val="clear" w:color="auto" w:fill="E7E6E6"/>
          </w:tcPr>
          <w:p w14:paraId="7F45C77E" w14:textId="77777777" w:rsidR="001C332B" w:rsidRPr="005F5C5A" w:rsidRDefault="001C332B" w:rsidP="006E6B76">
            <w:pPr>
              <w:jc w:val="center"/>
              <w:rPr>
                <w:sz w:val="20"/>
                <w:szCs w:val="22"/>
              </w:rPr>
            </w:pPr>
          </w:p>
        </w:tc>
        <w:tc>
          <w:tcPr>
            <w:tcW w:w="960" w:type="dxa"/>
            <w:shd w:val="clear" w:color="auto" w:fill="E7E6E6"/>
          </w:tcPr>
          <w:p w14:paraId="33032C87" w14:textId="77777777" w:rsidR="001C332B" w:rsidRPr="005F5C5A" w:rsidRDefault="001C332B" w:rsidP="006E6B76">
            <w:pPr>
              <w:jc w:val="center"/>
              <w:rPr>
                <w:sz w:val="20"/>
                <w:szCs w:val="22"/>
              </w:rPr>
            </w:pPr>
          </w:p>
        </w:tc>
        <w:tc>
          <w:tcPr>
            <w:tcW w:w="945" w:type="dxa"/>
            <w:shd w:val="clear" w:color="auto" w:fill="E7E6E6"/>
          </w:tcPr>
          <w:p w14:paraId="1BD00558" w14:textId="77777777" w:rsidR="001C332B" w:rsidRPr="005F5C5A" w:rsidRDefault="001C332B" w:rsidP="006E6B76">
            <w:pPr>
              <w:jc w:val="center"/>
              <w:rPr>
                <w:sz w:val="20"/>
                <w:szCs w:val="22"/>
              </w:rPr>
            </w:pPr>
          </w:p>
        </w:tc>
        <w:tc>
          <w:tcPr>
            <w:tcW w:w="886" w:type="dxa"/>
            <w:shd w:val="clear" w:color="auto" w:fill="FFFFFF"/>
          </w:tcPr>
          <w:p w14:paraId="1669D3B1" w14:textId="77777777" w:rsidR="001C332B" w:rsidRPr="005F5C5A" w:rsidRDefault="008352E7" w:rsidP="006E6B76">
            <w:pPr>
              <w:jc w:val="center"/>
              <w:rPr>
                <w:sz w:val="20"/>
                <w:szCs w:val="22"/>
              </w:rPr>
            </w:pPr>
            <w:r w:rsidRPr="005F5C5A">
              <w:rPr>
                <w:sz w:val="20"/>
                <w:szCs w:val="22"/>
              </w:rPr>
              <w:t>5%</w:t>
            </w:r>
          </w:p>
        </w:tc>
        <w:tc>
          <w:tcPr>
            <w:tcW w:w="1028" w:type="dxa"/>
            <w:shd w:val="clear" w:color="auto" w:fill="FFFFFF"/>
          </w:tcPr>
          <w:p w14:paraId="74EAF527" w14:textId="77777777" w:rsidR="001C332B" w:rsidRPr="005F5C5A" w:rsidRDefault="008352E7" w:rsidP="006E6B76">
            <w:pPr>
              <w:jc w:val="center"/>
              <w:rPr>
                <w:sz w:val="20"/>
                <w:szCs w:val="22"/>
              </w:rPr>
            </w:pPr>
            <w:r w:rsidRPr="005F5C5A">
              <w:rPr>
                <w:sz w:val="20"/>
                <w:szCs w:val="22"/>
              </w:rPr>
              <w:t>0%</w:t>
            </w:r>
          </w:p>
        </w:tc>
        <w:tc>
          <w:tcPr>
            <w:tcW w:w="936" w:type="dxa"/>
            <w:shd w:val="clear" w:color="auto" w:fill="FFFFFF"/>
          </w:tcPr>
          <w:p w14:paraId="74CBE0C9" w14:textId="77777777" w:rsidR="001C332B" w:rsidRPr="005F5C5A" w:rsidRDefault="008352E7" w:rsidP="006E6B76">
            <w:pPr>
              <w:jc w:val="center"/>
              <w:rPr>
                <w:sz w:val="20"/>
                <w:szCs w:val="22"/>
              </w:rPr>
            </w:pPr>
            <w:r w:rsidRPr="005F5C5A">
              <w:rPr>
                <w:sz w:val="20"/>
                <w:szCs w:val="22"/>
              </w:rPr>
              <w:t>1 (1)</w:t>
            </w:r>
          </w:p>
        </w:tc>
      </w:tr>
      <w:tr w:rsidR="001C332B" w14:paraId="6AF8C81D" w14:textId="77777777" w:rsidTr="006E6B76">
        <w:trPr>
          <w:trHeight w:val="113"/>
        </w:trPr>
        <w:tc>
          <w:tcPr>
            <w:tcW w:w="1276" w:type="dxa"/>
            <w:vMerge/>
          </w:tcPr>
          <w:p w14:paraId="377F0E75" w14:textId="77777777" w:rsidR="001C332B" w:rsidRDefault="001C332B" w:rsidP="006E6B76">
            <w:pPr>
              <w:widowControl w:val="0"/>
              <w:rPr>
                <w:sz w:val="22"/>
                <w:szCs w:val="22"/>
              </w:rPr>
            </w:pPr>
          </w:p>
        </w:tc>
        <w:tc>
          <w:tcPr>
            <w:tcW w:w="1134" w:type="dxa"/>
            <w:shd w:val="clear" w:color="auto" w:fill="E7E6E6"/>
          </w:tcPr>
          <w:p w14:paraId="205A6A2F" w14:textId="77777777" w:rsidR="001C332B" w:rsidRDefault="008352E7" w:rsidP="006E6B76">
            <w:pPr>
              <w:rPr>
                <w:sz w:val="22"/>
                <w:szCs w:val="22"/>
              </w:rPr>
            </w:pPr>
            <w:r>
              <w:rPr>
                <w:b/>
                <w:sz w:val="22"/>
                <w:szCs w:val="22"/>
              </w:rPr>
              <w:t>Cor a 11</w:t>
            </w:r>
          </w:p>
        </w:tc>
        <w:tc>
          <w:tcPr>
            <w:tcW w:w="851" w:type="dxa"/>
          </w:tcPr>
          <w:p w14:paraId="47A85215" w14:textId="77777777" w:rsidR="001C332B" w:rsidRPr="005F5C5A" w:rsidRDefault="008352E7" w:rsidP="006E6B76">
            <w:pPr>
              <w:jc w:val="center"/>
              <w:rPr>
                <w:sz w:val="20"/>
                <w:szCs w:val="22"/>
              </w:rPr>
            </w:pPr>
            <w:r w:rsidRPr="005F5C5A">
              <w:rPr>
                <w:sz w:val="20"/>
                <w:szCs w:val="22"/>
              </w:rPr>
              <w:t>5%</w:t>
            </w:r>
          </w:p>
        </w:tc>
        <w:tc>
          <w:tcPr>
            <w:tcW w:w="992" w:type="dxa"/>
          </w:tcPr>
          <w:p w14:paraId="1F61D4A2" w14:textId="77777777" w:rsidR="001C332B" w:rsidRPr="005F5C5A" w:rsidRDefault="008352E7" w:rsidP="006E6B76">
            <w:pPr>
              <w:jc w:val="center"/>
              <w:rPr>
                <w:sz w:val="20"/>
                <w:szCs w:val="22"/>
              </w:rPr>
            </w:pPr>
            <w:r w:rsidRPr="005F5C5A">
              <w:rPr>
                <w:sz w:val="20"/>
                <w:szCs w:val="22"/>
              </w:rPr>
              <w:t>4.3%</w:t>
            </w:r>
          </w:p>
        </w:tc>
        <w:tc>
          <w:tcPr>
            <w:tcW w:w="859" w:type="dxa"/>
            <w:shd w:val="clear" w:color="auto" w:fill="E7E6E6"/>
          </w:tcPr>
          <w:p w14:paraId="07271F00" w14:textId="77777777" w:rsidR="001C332B" w:rsidRPr="005F5C5A" w:rsidRDefault="001C332B" w:rsidP="006E6B76">
            <w:pPr>
              <w:jc w:val="center"/>
              <w:rPr>
                <w:sz w:val="20"/>
                <w:szCs w:val="22"/>
              </w:rPr>
            </w:pPr>
          </w:p>
        </w:tc>
        <w:tc>
          <w:tcPr>
            <w:tcW w:w="960" w:type="dxa"/>
            <w:shd w:val="clear" w:color="auto" w:fill="E7E6E6"/>
          </w:tcPr>
          <w:p w14:paraId="02DCF5CE" w14:textId="77777777" w:rsidR="001C332B" w:rsidRPr="005F5C5A" w:rsidRDefault="001C332B" w:rsidP="006E6B76">
            <w:pPr>
              <w:jc w:val="center"/>
              <w:rPr>
                <w:sz w:val="20"/>
                <w:szCs w:val="22"/>
              </w:rPr>
            </w:pPr>
          </w:p>
        </w:tc>
        <w:tc>
          <w:tcPr>
            <w:tcW w:w="945" w:type="dxa"/>
            <w:shd w:val="clear" w:color="auto" w:fill="E7E6E6"/>
          </w:tcPr>
          <w:p w14:paraId="71CE9927" w14:textId="77777777" w:rsidR="001C332B" w:rsidRPr="005F5C5A" w:rsidRDefault="001C332B" w:rsidP="006E6B76">
            <w:pPr>
              <w:jc w:val="center"/>
              <w:rPr>
                <w:sz w:val="20"/>
                <w:szCs w:val="22"/>
              </w:rPr>
            </w:pPr>
          </w:p>
        </w:tc>
        <w:tc>
          <w:tcPr>
            <w:tcW w:w="886" w:type="dxa"/>
            <w:shd w:val="clear" w:color="auto" w:fill="E7E6E6"/>
          </w:tcPr>
          <w:p w14:paraId="1DD66BA7" w14:textId="77777777" w:rsidR="001C332B" w:rsidRPr="005F5C5A" w:rsidRDefault="001C332B" w:rsidP="006E6B76">
            <w:pPr>
              <w:jc w:val="center"/>
              <w:rPr>
                <w:sz w:val="20"/>
                <w:szCs w:val="22"/>
              </w:rPr>
            </w:pPr>
          </w:p>
        </w:tc>
        <w:tc>
          <w:tcPr>
            <w:tcW w:w="1028" w:type="dxa"/>
            <w:shd w:val="clear" w:color="auto" w:fill="E7E6E6"/>
          </w:tcPr>
          <w:p w14:paraId="45ECA13C" w14:textId="77777777" w:rsidR="001C332B" w:rsidRPr="005F5C5A" w:rsidRDefault="001C332B" w:rsidP="006E6B76">
            <w:pPr>
              <w:jc w:val="center"/>
              <w:rPr>
                <w:sz w:val="20"/>
                <w:szCs w:val="22"/>
              </w:rPr>
            </w:pPr>
          </w:p>
        </w:tc>
        <w:tc>
          <w:tcPr>
            <w:tcW w:w="936" w:type="dxa"/>
            <w:shd w:val="clear" w:color="auto" w:fill="E7E6E6"/>
          </w:tcPr>
          <w:p w14:paraId="21F26426" w14:textId="77777777" w:rsidR="001C332B" w:rsidRPr="005F5C5A" w:rsidRDefault="001C332B" w:rsidP="006E6B76">
            <w:pPr>
              <w:jc w:val="center"/>
              <w:rPr>
                <w:sz w:val="20"/>
                <w:szCs w:val="22"/>
              </w:rPr>
            </w:pPr>
          </w:p>
        </w:tc>
      </w:tr>
      <w:tr w:rsidR="001C332B" w14:paraId="3707D794" w14:textId="77777777" w:rsidTr="006E6B76">
        <w:trPr>
          <w:trHeight w:val="113"/>
        </w:trPr>
        <w:tc>
          <w:tcPr>
            <w:tcW w:w="1276" w:type="dxa"/>
            <w:vMerge/>
          </w:tcPr>
          <w:p w14:paraId="6521F738" w14:textId="77777777" w:rsidR="001C332B" w:rsidRDefault="001C332B" w:rsidP="006E6B76">
            <w:pPr>
              <w:widowControl w:val="0"/>
              <w:rPr>
                <w:sz w:val="22"/>
                <w:szCs w:val="22"/>
              </w:rPr>
            </w:pPr>
          </w:p>
        </w:tc>
        <w:tc>
          <w:tcPr>
            <w:tcW w:w="1134" w:type="dxa"/>
            <w:shd w:val="clear" w:color="auto" w:fill="E7E6E6"/>
          </w:tcPr>
          <w:p w14:paraId="631614C1" w14:textId="77777777" w:rsidR="001C332B" w:rsidRDefault="008352E7" w:rsidP="006E6B76">
            <w:pPr>
              <w:rPr>
                <w:sz w:val="22"/>
                <w:szCs w:val="22"/>
              </w:rPr>
            </w:pPr>
            <w:r>
              <w:rPr>
                <w:b/>
                <w:sz w:val="22"/>
                <w:szCs w:val="22"/>
              </w:rPr>
              <w:t xml:space="preserve">Cor a 12 </w:t>
            </w:r>
          </w:p>
        </w:tc>
        <w:tc>
          <w:tcPr>
            <w:tcW w:w="851" w:type="dxa"/>
          </w:tcPr>
          <w:p w14:paraId="61272227" w14:textId="77777777" w:rsidR="001C332B" w:rsidRPr="005F5C5A" w:rsidRDefault="008352E7" w:rsidP="006E6B76">
            <w:pPr>
              <w:jc w:val="center"/>
              <w:rPr>
                <w:sz w:val="20"/>
                <w:szCs w:val="22"/>
              </w:rPr>
            </w:pPr>
            <w:r w:rsidRPr="005F5C5A">
              <w:rPr>
                <w:sz w:val="20"/>
                <w:szCs w:val="22"/>
              </w:rPr>
              <w:t>0%</w:t>
            </w:r>
          </w:p>
        </w:tc>
        <w:tc>
          <w:tcPr>
            <w:tcW w:w="992" w:type="dxa"/>
          </w:tcPr>
          <w:p w14:paraId="35561D8B" w14:textId="77777777" w:rsidR="001C332B" w:rsidRPr="005F5C5A" w:rsidRDefault="008352E7" w:rsidP="006E6B76">
            <w:pPr>
              <w:jc w:val="center"/>
              <w:rPr>
                <w:sz w:val="20"/>
                <w:szCs w:val="22"/>
              </w:rPr>
            </w:pPr>
            <w:r w:rsidRPr="005F5C5A">
              <w:rPr>
                <w:sz w:val="20"/>
                <w:szCs w:val="22"/>
              </w:rPr>
              <w:t>0%</w:t>
            </w:r>
          </w:p>
        </w:tc>
        <w:tc>
          <w:tcPr>
            <w:tcW w:w="859" w:type="dxa"/>
            <w:shd w:val="clear" w:color="auto" w:fill="E7E6E6"/>
          </w:tcPr>
          <w:p w14:paraId="43B81C23" w14:textId="77777777" w:rsidR="001C332B" w:rsidRPr="005F5C5A" w:rsidRDefault="001C332B" w:rsidP="006E6B76">
            <w:pPr>
              <w:jc w:val="center"/>
              <w:rPr>
                <w:sz w:val="20"/>
                <w:szCs w:val="22"/>
              </w:rPr>
            </w:pPr>
          </w:p>
        </w:tc>
        <w:tc>
          <w:tcPr>
            <w:tcW w:w="960" w:type="dxa"/>
            <w:shd w:val="clear" w:color="auto" w:fill="E7E6E6"/>
          </w:tcPr>
          <w:p w14:paraId="091C3EDD" w14:textId="77777777" w:rsidR="001C332B" w:rsidRPr="005F5C5A" w:rsidRDefault="001C332B" w:rsidP="006E6B76">
            <w:pPr>
              <w:jc w:val="center"/>
              <w:rPr>
                <w:sz w:val="20"/>
                <w:szCs w:val="22"/>
              </w:rPr>
            </w:pPr>
          </w:p>
        </w:tc>
        <w:tc>
          <w:tcPr>
            <w:tcW w:w="945" w:type="dxa"/>
            <w:shd w:val="clear" w:color="auto" w:fill="E7E6E6"/>
          </w:tcPr>
          <w:p w14:paraId="1BA45717" w14:textId="77777777" w:rsidR="001C332B" w:rsidRPr="005F5C5A" w:rsidRDefault="001C332B" w:rsidP="006E6B76">
            <w:pPr>
              <w:jc w:val="center"/>
              <w:rPr>
                <w:sz w:val="20"/>
                <w:szCs w:val="22"/>
              </w:rPr>
            </w:pPr>
          </w:p>
        </w:tc>
        <w:tc>
          <w:tcPr>
            <w:tcW w:w="886" w:type="dxa"/>
            <w:shd w:val="clear" w:color="auto" w:fill="E7E6E6"/>
          </w:tcPr>
          <w:p w14:paraId="0AADC6AE" w14:textId="77777777" w:rsidR="001C332B" w:rsidRPr="005F5C5A" w:rsidRDefault="001C332B" w:rsidP="006E6B76">
            <w:pPr>
              <w:jc w:val="center"/>
              <w:rPr>
                <w:sz w:val="20"/>
                <w:szCs w:val="22"/>
              </w:rPr>
            </w:pPr>
          </w:p>
        </w:tc>
        <w:tc>
          <w:tcPr>
            <w:tcW w:w="1028" w:type="dxa"/>
            <w:shd w:val="clear" w:color="auto" w:fill="E7E6E6"/>
          </w:tcPr>
          <w:p w14:paraId="47ABB2F7" w14:textId="77777777" w:rsidR="001C332B" w:rsidRPr="005F5C5A" w:rsidRDefault="001C332B" w:rsidP="006E6B76">
            <w:pPr>
              <w:jc w:val="center"/>
              <w:rPr>
                <w:sz w:val="20"/>
                <w:szCs w:val="22"/>
              </w:rPr>
            </w:pPr>
          </w:p>
        </w:tc>
        <w:tc>
          <w:tcPr>
            <w:tcW w:w="936" w:type="dxa"/>
            <w:shd w:val="clear" w:color="auto" w:fill="E7E6E6"/>
          </w:tcPr>
          <w:p w14:paraId="20FD7896" w14:textId="77777777" w:rsidR="001C332B" w:rsidRPr="005F5C5A" w:rsidRDefault="001C332B" w:rsidP="006E6B76">
            <w:pPr>
              <w:jc w:val="center"/>
              <w:rPr>
                <w:sz w:val="20"/>
                <w:szCs w:val="22"/>
              </w:rPr>
            </w:pPr>
          </w:p>
        </w:tc>
      </w:tr>
      <w:tr w:rsidR="001C332B" w14:paraId="395CACC7" w14:textId="77777777" w:rsidTr="006E6B76">
        <w:trPr>
          <w:trHeight w:val="113"/>
        </w:trPr>
        <w:tc>
          <w:tcPr>
            <w:tcW w:w="1276" w:type="dxa"/>
            <w:vMerge/>
          </w:tcPr>
          <w:p w14:paraId="42E60E60" w14:textId="77777777" w:rsidR="001C332B" w:rsidRDefault="001C332B" w:rsidP="006E6B76">
            <w:pPr>
              <w:widowControl w:val="0"/>
              <w:rPr>
                <w:sz w:val="22"/>
                <w:szCs w:val="22"/>
              </w:rPr>
            </w:pPr>
          </w:p>
        </w:tc>
        <w:tc>
          <w:tcPr>
            <w:tcW w:w="1134" w:type="dxa"/>
            <w:shd w:val="clear" w:color="auto" w:fill="E7E6E6"/>
          </w:tcPr>
          <w:p w14:paraId="0EC248E7" w14:textId="77777777" w:rsidR="001C332B" w:rsidRDefault="008352E7" w:rsidP="006E6B76">
            <w:pPr>
              <w:rPr>
                <w:sz w:val="22"/>
                <w:szCs w:val="22"/>
              </w:rPr>
            </w:pPr>
            <w:r>
              <w:rPr>
                <w:b/>
                <w:sz w:val="22"/>
                <w:szCs w:val="22"/>
              </w:rPr>
              <w:t>Cor a 14</w:t>
            </w:r>
          </w:p>
        </w:tc>
        <w:tc>
          <w:tcPr>
            <w:tcW w:w="851" w:type="dxa"/>
          </w:tcPr>
          <w:p w14:paraId="4E737918" w14:textId="77777777" w:rsidR="001C332B" w:rsidRPr="005F5C5A" w:rsidRDefault="008352E7" w:rsidP="006E6B76">
            <w:pPr>
              <w:jc w:val="center"/>
              <w:rPr>
                <w:sz w:val="20"/>
                <w:szCs w:val="22"/>
              </w:rPr>
            </w:pPr>
            <w:r w:rsidRPr="005F5C5A">
              <w:rPr>
                <w:sz w:val="20"/>
                <w:szCs w:val="22"/>
              </w:rPr>
              <w:t>10%</w:t>
            </w:r>
          </w:p>
        </w:tc>
        <w:tc>
          <w:tcPr>
            <w:tcW w:w="992" w:type="dxa"/>
          </w:tcPr>
          <w:p w14:paraId="3EF969E2" w14:textId="77777777" w:rsidR="001C332B" w:rsidRPr="005F5C5A" w:rsidRDefault="008352E7" w:rsidP="006E6B76">
            <w:pPr>
              <w:jc w:val="center"/>
              <w:rPr>
                <w:sz w:val="20"/>
                <w:szCs w:val="22"/>
              </w:rPr>
            </w:pPr>
            <w:r w:rsidRPr="005F5C5A">
              <w:rPr>
                <w:sz w:val="20"/>
                <w:szCs w:val="22"/>
              </w:rPr>
              <w:t>0%</w:t>
            </w:r>
          </w:p>
        </w:tc>
        <w:tc>
          <w:tcPr>
            <w:tcW w:w="859" w:type="dxa"/>
            <w:shd w:val="clear" w:color="auto" w:fill="E7E6E6"/>
          </w:tcPr>
          <w:p w14:paraId="015FC69E" w14:textId="77777777" w:rsidR="001C332B" w:rsidRPr="005F5C5A" w:rsidRDefault="001C332B" w:rsidP="006E6B76">
            <w:pPr>
              <w:jc w:val="center"/>
              <w:rPr>
                <w:sz w:val="20"/>
                <w:szCs w:val="22"/>
              </w:rPr>
            </w:pPr>
          </w:p>
        </w:tc>
        <w:tc>
          <w:tcPr>
            <w:tcW w:w="960" w:type="dxa"/>
            <w:shd w:val="clear" w:color="auto" w:fill="E7E6E6"/>
          </w:tcPr>
          <w:p w14:paraId="525341C3" w14:textId="77777777" w:rsidR="001C332B" w:rsidRPr="005F5C5A" w:rsidRDefault="001C332B" w:rsidP="006E6B76">
            <w:pPr>
              <w:jc w:val="center"/>
              <w:rPr>
                <w:sz w:val="20"/>
                <w:szCs w:val="22"/>
              </w:rPr>
            </w:pPr>
          </w:p>
        </w:tc>
        <w:tc>
          <w:tcPr>
            <w:tcW w:w="945" w:type="dxa"/>
            <w:shd w:val="clear" w:color="auto" w:fill="E7E6E6"/>
          </w:tcPr>
          <w:p w14:paraId="5F0EAFAE" w14:textId="77777777" w:rsidR="001C332B" w:rsidRPr="005F5C5A" w:rsidRDefault="001C332B" w:rsidP="006E6B76">
            <w:pPr>
              <w:jc w:val="center"/>
              <w:rPr>
                <w:sz w:val="20"/>
                <w:szCs w:val="22"/>
              </w:rPr>
            </w:pPr>
          </w:p>
        </w:tc>
        <w:tc>
          <w:tcPr>
            <w:tcW w:w="886" w:type="dxa"/>
            <w:shd w:val="clear" w:color="auto" w:fill="E7E6E6"/>
          </w:tcPr>
          <w:p w14:paraId="51768359" w14:textId="77777777" w:rsidR="001C332B" w:rsidRPr="005F5C5A" w:rsidRDefault="001C332B" w:rsidP="006E6B76">
            <w:pPr>
              <w:jc w:val="center"/>
              <w:rPr>
                <w:sz w:val="20"/>
                <w:szCs w:val="22"/>
              </w:rPr>
            </w:pPr>
          </w:p>
        </w:tc>
        <w:tc>
          <w:tcPr>
            <w:tcW w:w="1028" w:type="dxa"/>
            <w:shd w:val="clear" w:color="auto" w:fill="E7E6E6"/>
          </w:tcPr>
          <w:p w14:paraId="4A99BEB4" w14:textId="77777777" w:rsidR="001C332B" w:rsidRPr="005F5C5A" w:rsidRDefault="001C332B" w:rsidP="006E6B76">
            <w:pPr>
              <w:jc w:val="center"/>
              <w:rPr>
                <w:sz w:val="20"/>
                <w:szCs w:val="22"/>
              </w:rPr>
            </w:pPr>
          </w:p>
        </w:tc>
        <w:tc>
          <w:tcPr>
            <w:tcW w:w="936" w:type="dxa"/>
            <w:shd w:val="clear" w:color="auto" w:fill="E7E6E6"/>
          </w:tcPr>
          <w:p w14:paraId="0735E346" w14:textId="77777777" w:rsidR="001C332B" w:rsidRPr="005F5C5A" w:rsidRDefault="001C332B" w:rsidP="006E6B76">
            <w:pPr>
              <w:jc w:val="center"/>
              <w:rPr>
                <w:sz w:val="20"/>
                <w:szCs w:val="22"/>
              </w:rPr>
            </w:pPr>
          </w:p>
        </w:tc>
      </w:tr>
      <w:tr w:rsidR="001C332B" w14:paraId="30AA643E" w14:textId="77777777" w:rsidTr="006E6B76">
        <w:trPr>
          <w:trHeight w:val="113"/>
        </w:trPr>
        <w:tc>
          <w:tcPr>
            <w:tcW w:w="1276" w:type="dxa"/>
            <w:vMerge w:val="restart"/>
          </w:tcPr>
          <w:p w14:paraId="335D188C" w14:textId="77777777" w:rsidR="001C332B" w:rsidRDefault="008352E7" w:rsidP="006E6B76">
            <w:pPr>
              <w:rPr>
                <w:sz w:val="18"/>
                <w:szCs w:val="18"/>
              </w:rPr>
            </w:pPr>
            <w:r>
              <w:rPr>
                <w:b/>
                <w:sz w:val="18"/>
                <w:szCs w:val="18"/>
              </w:rPr>
              <w:t>Peanut</w:t>
            </w:r>
          </w:p>
        </w:tc>
        <w:tc>
          <w:tcPr>
            <w:tcW w:w="1134" w:type="dxa"/>
            <w:shd w:val="clear" w:color="auto" w:fill="E7E6E6"/>
          </w:tcPr>
          <w:p w14:paraId="15838CED" w14:textId="77777777" w:rsidR="001C332B" w:rsidRDefault="008352E7" w:rsidP="006E6B76">
            <w:pPr>
              <w:rPr>
                <w:sz w:val="22"/>
                <w:szCs w:val="22"/>
              </w:rPr>
            </w:pPr>
            <w:r>
              <w:rPr>
                <w:b/>
                <w:sz w:val="22"/>
                <w:szCs w:val="22"/>
              </w:rPr>
              <w:t>Ara h 1</w:t>
            </w:r>
          </w:p>
        </w:tc>
        <w:tc>
          <w:tcPr>
            <w:tcW w:w="851" w:type="dxa"/>
          </w:tcPr>
          <w:p w14:paraId="72C2204F" w14:textId="77777777" w:rsidR="001C332B" w:rsidRPr="005F5C5A" w:rsidRDefault="008352E7" w:rsidP="006E6B76">
            <w:pPr>
              <w:jc w:val="center"/>
              <w:rPr>
                <w:sz w:val="20"/>
                <w:szCs w:val="22"/>
              </w:rPr>
            </w:pPr>
            <w:r w:rsidRPr="005F5C5A">
              <w:rPr>
                <w:sz w:val="20"/>
                <w:szCs w:val="22"/>
              </w:rPr>
              <w:t>15.8%</w:t>
            </w:r>
          </w:p>
        </w:tc>
        <w:tc>
          <w:tcPr>
            <w:tcW w:w="992" w:type="dxa"/>
          </w:tcPr>
          <w:p w14:paraId="1C5E6A17" w14:textId="77777777" w:rsidR="001C332B" w:rsidRPr="005F5C5A" w:rsidRDefault="008352E7" w:rsidP="006E6B76">
            <w:pPr>
              <w:jc w:val="center"/>
              <w:rPr>
                <w:sz w:val="20"/>
                <w:szCs w:val="22"/>
              </w:rPr>
            </w:pPr>
            <w:r w:rsidRPr="005F5C5A">
              <w:rPr>
                <w:sz w:val="20"/>
                <w:szCs w:val="22"/>
              </w:rPr>
              <w:t>0%</w:t>
            </w:r>
          </w:p>
        </w:tc>
        <w:tc>
          <w:tcPr>
            <w:tcW w:w="859" w:type="dxa"/>
            <w:shd w:val="clear" w:color="auto" w:fill="E7E6E6"/>
          </w:tcPr>
          <w:p w14:paraId="6D18C3B4" w14:textId="77777777" w:rsidR="001C332B" w:rsidRPr="005F5C5A" w:rsidRDefault="001C332B" w:rsidP="006E6B76">
            <w:pPr>
              <w:jc w:val="center"/>
              <w:rPr>
                <w:sz w:val="20"/>
                <w:szCs w:val="22"/>
              </w:rPr>
            </w:pPr>
          </w:p>
        </w:tc>
        <w:tc>
          <w:tcPr>
            <w:tcW w:w="960" w:type="dxa"/>
            <w:shd w:val="clear" w:color="auto" w:fill="E7E6E6"/>
          </w:tcPr>
          <w:p w14:paraId="6A18B7F0" w14:textId="77777777" w:rsidR="001C332B" w:rsidRPr="005F5C5A" w:rsidRDefault="001C332B" w:rsidP="006E6B76">
            <w:pPr>
              <w:jc w:val="center"/>
              <w:rPr>
                <w:sz w:val="20"/>
                <w:szCs w:val="22"/>
              </w:rPr>
            </w:pPr>
          </w:p>
        </w:tc>
        <w:tc>
          <w:tcPr>
            <w:tcW w:w="945" w:type="dxa"/>
            <w:shd w:val="clear" w:color="auto" w:fill="E7E6E6"/>
          </w:tcPr>
          <w:p w14:paraId="51557397" w14:textId="77777777" w:rsidR="001C332B" w:rsidRPr="005F5C5A" w:rsidRDefault="001C332B" w:rsidP="006E6B76">
            <w:pPr>
              <w:jc w:val="center"/>
              <w:rPr>
                <w:sz w:val="20"/>
                <w:szCs w:val="22"/>
              </w:rPr>
            </w:pPr>
          </w:p>
        </w:tc>
        <w:tc>
          <w:tcPr>
            <w:tcW w:w="886" w:type="dxa"/>
            <w:shd w:val="clear" w:color="auto" w:fill="FFFFFF"/>
          </w:tcPr>
          <w:p w14:paraId="564035EE" w14:textId="77777777" w:rsidR="001C332B" w:rsidRPr="005F5C5A" w:rsidRDefault="008352E7" w:rsidP="006E6B76">
            <w:pPr>
              <w:jc w:val="center"/>
              <w:rPr>
                <w:sz w:val="20"/>
                <w:szCs w:val="22"/>
              </w:rPr>
            </w:pPr>
            <w:r w:rsidRPr="005F5C5A">
              <w:rPr>
                <w:sz w:val="20"/>
                <w:szCs w:val="22"/>
              </w:rPr>
              <w:t>15.8%</w:t>
            </w:r>
          </w:p>
        </w:tc>
        <w:tc>
          <w:tcPr>
            <w:tcW w:w="1028" w:type="dxa"/>
            <w:shd w:val="clear" w:color="auto" w:fill="FFFFFF"/>
          </w:tcPr>
          <w:p w14:paraId="7861CFA3" w14:textId="77777777" w:rsidR="001C332B" w:rsidRPr="005F5C5A" w:rsidRDefault="008352E7" w:rsidP="006E6B76">
            <w:pPr>
              <w:jc w:val="center"/>
              <w:rPr>
                <w:sz w:val="20"/>
                <w:szCs w:val="22"/>
              </w:rPr>
            </w:pPr>
            <w:r w:rsidRPr="005F5C5A">
              <w:rPr>
                <w:sz w:val="20"/>
                <w:szCs w:val="22"/>
              </w:rPr>
              <w:t>0%</w:t>
            </w:r>
          </w:p>
        </w:tc>
        <w:tc>
          <w:tcPr>
            <w:tcW w:w="936" w:type="dxa"/>
            <w:shd w:val="clear" w:color="auto" w:fill="FFFFFF"/>
          </w:tcPr>
          <w:p w14:paraId="5B679ACC" w14:textId="77777777" w:rsidR="001C332B" w:rsidRPr="005F5C5A" w:rsidRDefault="008352E7" w:rsidP="006E6B76">
            <w:pPr>
              <w:jc w:val="center"/>
              <w:rPr>
                <w:sz w:val="20"/>
                <w:szCs w:val="22"/>
              </w:rPr>
            </w:pPr>
            <w:r w:rsidRPr="005F5C5A">
              <w:rPr>
                <w:sz w:val="20"/>
                <w:szCs w:val="22"/>
              </w:rPr>
              <w:t>1 (1)</w:t>
            </w:r>
          </w:p>
        </w:tc>
      </w:tr>
      <w:tr w:rsidR="001C332B" w14:paraId="1324592A" w14:textId="77777777" w:rsidTr="006E6B76">
        <w:trPr>
          <w:trHeight w:val="113"/>
        </w:trPr>
        <w:tc>
          <w:tcPr>
            <w:tcW w:w="1276" w:type="dxa"/>
            <w:vMerge/>
          </w:tcPr>
          <w:p w14:paraId="13D47A17" w14:textId="77777777" w:rsidR="001C332B" w:rsidRDefault="001C332B" w:rsidP="006E6B76">
            <w:pPr>
              <w:widowControl w:val="0"/>
              <w:rPr>
                <w:sz w:val="22"/>
                <w:szCs w:val="22"/>
              </w:rPr>
            </w:pPr>
          </w:p>
        </w:tc>
        <w:tc>
          <w:tcPr>
            <w:tcW w:w="1134" w:type="dxa"/>
            <w:shd w:val="clear" w:color="auto" w:fill="E7E6E6"/>
          </w:tcPr>
          <w:p w14:paraId="595C767B" w14:textId="77777777" w:rsidR="001C332B" w:rsidRDefault="008352E7" w:rsidP="006E6B76">
            <w:pPr>
              <w:rPr>
                <w:sz w:val="22"/>
                <w:szCs w:val="22"/>
              </w:rPr>
            </w:pPr>
            <w:r>
              <w:rPr>
                <w:b/>
                <w:sz w:val="22"/>
                <w:szCs w:val="22"/>
              </w:rPr>
              <w:t>Ara h 2</w:t>
            </w:r>
          </w:p>
        </w:tc>
        <w:tc>
          <w:tcPr>
            <w:tcW w:w="851" w:type="dxa"/>
          </w:tcPr>
          <w:p w14:paraId="4B3A3A61" w14:textId="77777777" w:rsidR="001C332B" w:rsidRPr="005F5C5A" w:rsidRDefault="008352E7" w:rsidP="006E6B76">
            <w:pPr>
              <w:jc w:val="center"/>
              <w:rPr>
                <w:sz w:val="20"/>
                <w:szCs w:val="22"/>
              </w:rPr>
            </w:pPr>
            <w:r w:rsidRPr="005F5C5A">
              <w:rPr>
                <w:sz w:val="20"/>
                <w:szCs w:val="22"/>
              </w:rPr>
              <w:t>15.8%</w:t>
            </w:r>
          </w:p>
        </w:tc>
        <w:tc>
          <w:tcPr>
            <w:tcW w:w="992" w:type="dxa"/>
          </w:tcPr>
          <w:p w14:paraId="13DE7215" w14:textId="77777777" w:rsidR="001C332B" w:rsidRPr="005F5C5A" w:rsidRDefault="008352E7" w:rsidP="006E6B76">
            <w:pPr>
              <w:jc w:val="center"/>
              <w:rPr>
                <w:sz w:val="20"/>
                <w:szCs w:val="22"/>
              </w:rPr>
            </w:pPr>
            <w:r w:rsidRPr="005F5C5A">
              <w:rPr>
                <w:sz w:val="20"/>
                <w:szCs w:val="22"/>
              </w:rPr>
              <w:t>0%</w:t>
            </w:r>
          </w:p>
        </w:tc>
        <w:tc>
          <w:tcPr>
            <w:tcW w:w="859" w:type="dxa"/>
            <w:shd w:val="clear" w:color="auto" w:fill="E7E6E6"/>
          </w:tcPr>
          <w:p w14:paraId="57CB571C" w14:textId="77777777" w:rsidR="001C332B" w:rsidRPr="005F5C5A" w:rsidRDefault="001C332B" w:rsidP="006E6B76">
            <w:pPr>
              <w:jc w:val="center"/>
              <w:rPr>
                <w:sz w:val="20"/>
                <w:szCs w:val="22"/>
              </w:rPr>
            </w:pPr>
          </w:p>
        </w:tc>
        <w:tc>
          <w:tcPr>
            <w:tcW w:w="960" w:type="dxa"/>
            <w:shd w:val="clear" w:color="auto" w:fill="E7E6E6"/>
          </w:tcPr>
          <w:p w14:paraId="2ED9B1F4" w14:textId="77777777" w:rsidR="001C332B" w:rsidRPr="005F5C5A" w:rsidRDefault="001C332B" w:rsidP="006E6B76">
            <w:pPr>
              <w:jc w:val="center"/>
              <w:rPr>
                <w:sz w:val="20"/>
                <w:szCs w:val="22"/>
              </w:rPr>
            </w:pPr>
          </w:p>
        </w:tc>
        <w:tc>
          <w:tcPr>
            <w:tcW w:w="945" w:type="dxa"/>
            <w:shd w:val="clear" w:color="auto" w:fill="E7E6E6"/>
          </w:tcPr>
          <w:p w14:paraId="708C9CE1" w14:textId="77777777" w:rsidR="001C332B" w:rsidRPr="005F5C5A" w:rsidRDefault="001C332B" w:rsidP="006E6B76">
            <w:pPr>
              <w:jc w:val="center"/>
              <w:rPr>
                <w:sz w:val="20"/>
                <w:szCs w:val="22"/>
              </w:rPr>
            </w:pPr>
          </w:p>
        </w:tc>
        <w:tc>
          <w:tcPr>
            <w:tcW w:w="886" w:type="dxa"/>
            <w:shd w:val="clear" w:color="auto" w:fill="FFFFFF"/>
          </w:tcPr>
          <w:p w14:paraId="5D6B4944" w14:textId="77777777" w:rsidR="001C332B" w:rsidRPr="005F5C5A" w:rsidRDefault="008352E7" w:rsidP="006E6B76">
            <w:pPr>
              <w:jc w:val="center"/>
              <w:rPr>
                <w:sz w:val="20"/>
                <w:szCs w:val="22"/>
              </w:rPr>
            </w:pPr>
            <w:r w:rsidRPr="005F5C5A">
              <w:rPr>
                <w:sz w:val="20"/>
                <w:szCs w:val="22"/>
              </w:rPr>
              <w:t>15.8%</w:t>
            </w:r>
          </w:p>
        </w:tc>
        <w:tc>
          <w:tcPr>
            <w:tcW w:w="1028" w:type="dxa"/>
            <w:shd w:val="clear" w:color="auto" w:fill="FFFFFF"/>
          </w:tcPr>
          <w:p w14:paraId="77E69456" w14:textId="77777777" w:rsidR="001C332B" w:rsidRPr="005F5C5A" w:rsidRDefault="008352E7" w:rsidP="006E6B76">
            <w:pPr>
              <w:jc w:val="center"/>
              <w:rPr>
                <w:sz w:val="20"/>
                <w:szCs w:val="22"/>
              </w:rPr>
            </w:pPr>
            <w:r w:rsidRPr="005F5C5A">
              <w:rPr>
                <w:sz w:val="20"/>
                <w:szCs w:val="22"/>
              </w:rPr>
              <w:t>0%</w:t>
            </w:r>
          </w:p>
        </w:tc>
        <w:tc>
          <w:tcPr>
            <w:tcW w:w="936" w:type="dxa"/>
            <w:shd w:val="clear" w:color="auto" w:fill="FFFFFF"/>
          </w:tcPr>
          <w:p w14:paraId="63D590E4" w14:textId="77777777" w:rsidR="001C332B" w:rsidRPr="005F5C5A" w:rsidRDefault="008352E7" w:rsidP="006E6B76">
            <w:pPr>
              <w:jc w:val="center"/>
              <w:rPr>
                <w:sz w:val="20"/>
                <w:szCs w:val="22"/>
              </w:rPr>
            </w:pPr>
            <w:r w:rsidRPr="005F5C5A">
              <w:rPr>
                <w:sz w:val="20"/>
                <w:szCs w:val="22"/>
              </w:rPr>
              <w:t>1 (1)</w:t>
            </w:r>
          </w:p>
        </w:tc>
      </w:tr>
      <w:tr w:rsidR="001C332B" w14:paraId="0DEA05E7" w14:textId="77777777" w:rsidTr="006E6B76">
        <w:trPr>
          <w:trHeight w:val="113"/>
        </w:trPr>
        <w:tc>
          <w:tcPr>
            <w:tcW w:w="1276" w:type="dxa"/>
            <w:vMerge/>
          </w:tcPr>
          <w:p w14:paraId="747D6E08" w14:textId="77777777" w:rsidR="001C332B" w:rsidRDefault="001C332B" w:rsidP="006E6B76">
            <w:pPr>
              <w:widowControl w:val="0"/>
              <w:rPr>
                <w:sz w:val="22"/>
                <w:szCs w:val="22"/>
              </w:rPr>
            </w:pPr>
          </w:p>
        </w:tc>
        <w:tc>
          <w:tcPr>
            <w:tcW w:w="1134" w:type="dxa"/>
            <w:shd w:val="clear" w:color="auto" w:fill="E7E6E6"/>
          </w:tcPr>
          <w:p w14:paraId="0AF31794" w14:textId="77777777" w:rsidR="001C332B" w:rsidRDefault="008352E7" w:rsidP="006E6B76">
            <w:pPr>
              <w:rPr>
                <w:sz w:val="22"/>
                <w:szCs w:val="22"/>
              </w:rPr>
            </w:pPr>
            <w:r>
              <w:rPr>
                <w:b/>
                <w:sz w:val="22"/>
                <w:szCs w:val="22"/>
              </w:rPr>
              <w:t>Ara h 3</w:t>
            </w:r>
          </w:p>
        </w:tc>
        <w:tc>
          <w:tcPr>
            <w:tcW w:w="851" w:type="dxa"/>
          </w:tcPr>
          <w:p w14:paraId="2ADC472F" w14:textId="77777777" w:rsidR="001C332B" w:rsidRPr="005F5C5A" w:rsidRDefault="008352E7" w:rsidP="006E6B76">
            <w:pPr>
              <w:jc w:val="center"/>
              <w:rPr>
                <w:sz w:val="20"/>
                <w:szCs w:val="22"/>
              </w:rPr>
            </w:pPr>
            <w:r w:rsidRPr="005F5C5A">
              <w:rPr>
                <w:sz w:val="20"/>
                <w:szCs w:val="22"/>
              </w:rPr>
              <w:t>10.5%</w:t>
            </w:r>
          </w:p>
        </w:tc>
        <w:tc>
          <w:tcPr>
            <w:tcW w:w="992" w:type="dxa"/>
          </w:tcPr>
          <w:p w14:paraId="5FA39550" w14:textId="77777777" w:rsidR="001C332B" w:rsidRPr="005F5C5A" w:rsidRDefault="008352E7" w:rsidP="006E6B76">
            <w:pPr>
              <w:jc w:val="center"/>
              <w:rPr>
                <w:sz w:val="20"/>
                <w:szCs w:val="22"/>
              </w:rPr>
            </w:pPr>
            <w:r w:rsidRPr="005F5C5A">
              <w:rPr>
                <w:sz w:val="20"/>
                <w:szCs w:val="22"/>
              </w:rPr>
              <w:t>0%</w:t>
            </w:r>
          </w:p>
        </w:tc>
        <w:tc>
          <w:tcPr>
            <w:tcW w:w="859" w:type="dxa"/>
            <w:shd w:val="clear" w:color="auto" w:fill="E7E6E6"/>
          </w:tcPr>
          <w:p w14:paraId="21A40398" w14:textId="77777777" w:rsidR="001C332B" w:rsidRPr="005F5C5A" w:rsidRDefault="001C332B" w:rsidP="006E6B76">
            <w:pPr>
              <w:jc w:val="center"/>
              <w:rPr>
                <w:sz w:val="20"/>
                <w:szCs w:val="22"/>
              </w:rPr>
            </w:pPr>
          </w:p>
        </w:tc>
        <w:tc>
          <w:tcPr>
            <w:tcW w:w="960" w:type="dxa"/>
            <w:shd w:val="clear" w:color="auto" w:fill="E7E6E6"/>
          </w:tcPr>
          <w:p w14:paraId="2C2A966B" w14:textId="77777777" w:rsidR="001C332B" w:rsidRPr="005F5C5A" w:rsidRDefault="001C332B" w:rsidP="006E6B76">
            <w:pPr>
              <w:jc w:val="center"/>
              <w:rPr>
                <w:sz w:val="20"/>
                <w:szCs w:val="22"/>
              </w:rPr>
            </w:pPr>
          </w:p>
        </w:tc>
        <w:tc>
          <w:tcPr>
            <w:tcW w:w="945" w:type="dxa"/>
            <w:shd w:val="clear" w:color="auto" w:fill="E7E6E6"/>
          </w:tcPr>
          <w:p w14:paraId="78D9432F" w14:textId="77777777" w:rsidR="001C332B" w:rsidRPr="005F5C5A" w:rsidRDefault="001C332B" w:rsidP="006E6B76">
            <w:pPr>
              <w:jc w:val="center"/>
              <w:rPr>
                <w:sz w:val="20"/>
                <w:szCs w:val="22"/>
              </w:rPr>
            </w:pPr>
          </w:p>
        </w:tc>
        <w:tc>
          <w:tcPr>
            <w:tcW w:w="886" w:type="dxa"/>
            <w:shd w:val="clear" w:color="auto" w:fill="FFFFFF"/>
          </w:tcPr>
          <w:p w14:paraId="41F36ABE" w14:textId="77777777" w:rsidR="001C332B" w:rsidRPr="005F5C5A" w:rsidRDefault="008352E7" w:rsidP="006E6B76">
            <w:pPr>
              <w:jc w:val="center"/>
              <w:rPr>
                <w:sz w:val="20"/>
                <w:szCs w:val="22"/>
              </w:rPr>
            </w:pPr>
            <w:r w:rsidRPr="005F5C5A">
              <w:rPr>
                <w:sz w:val="20"/>
                <w:szCs w:val="22"/>
              </w:rPr>
              <w:t>5.3%</w:t>
            </w:r>
          </w:p>
        </w:tc>
        <w:tc>
          <w:tcPr>
            <w:tcW w:w="1028" w:type="dxa"/>
            <w:shd w:val="clear" w:color="auto" w:fill="FFFFFF"/>
          </w:tcPr>
          <w:p w14:paraId="3252E0DA" w14:textId="77777777" w:rsidR="001C332B" w:rsidRPr="005F5C5A" w:rsidRDefault="008352E7" w:rsidP="006E6B76">
            <w:pPr>
              <w:jc w:val="center"/>
              <w:rPr>
                <w:sz w:val="20"/>
                <w:szCs w:val="22"/>
              </w:rPr>
            </w:pPr>
            <w:r w:rsidRPr="005F5C5A">
              <w:rPr>
                <w:sz w:val="20"/>
                <w:szCs w:val="22"/>
              </w:rPr>
              <w:t>0%</w:t>
            </w:r>
          </w:p>
        </w:tc>
        <w:tc>
          <w:tcPr>
            <w:tcW w:w="936" w:type="dxa"/>
            <w:shd w:val="clear" w:color="auto" w:fill="FFFFFF"/>
          </w:tcPr>
          <w:p w14:paraId="3088DF44" w14:textId="77777777" w:rsidR="001C332B" w:rsidRPr="005F5C5A" w:rsidRDefault="008352E7" w:rsidP="006E6B76">
            <w:pPr>
              <w:jc w:val="center"/>
              <w:rPr>
                <w:sz w:val="20"/>
                <w:szCs w:val="22"/>
              </w:rPr>
            </w:pPr>
            <w:r w:rsidRPr="005F5C5A">
              <w:rPr>
                <w:sz w:val="20"/>
                <w:szCs w:val="22"/>
              </w:rPr>
              <w:t>0.656 (1)</w:t>
            </w:r>
          </w:p>
        </w:tc>
      </w:tr>
      <w:tr w:rsidR="001C332B" w14:paraId="15D72336" w14:textId="77777777" w:rsidTr="006E6B76">
        <w:trPr>
          <w:trHeight w:val="113"/>
        </w:trPr>
        <w:tc>
          <w:tcPr>
            <w:tcW w:w="1276" w:type="dxa"/>
            <w:vMerge/>
          </w:tcPr>
          <w:p w14:paraId="65F12C5B" w14:textId="77777777" w:rsidR="001C332B" w:rsidRDefault="001C332B" w:rsidP="006E6B76">
            <w:pPr>
              <w:widowControl w:val="0"/>
              <w:rPr>
                <w:sz w:val="22"/>
                <w:szCs w:val="22"/>
              </w:rPr>
            </w:pPr>
          </w:p>
        </w:tc>
        <w:tc>
          <w:tcPr>
            <w:tcW w:w="1134" w:type="dxa"/>
            <w:shd w:val="clear" w:color="auto" w:fill="E7E6E6"/>
          </w:tcPr>
          <w:p w14:paraId="703F9D29" w14:textId="77777777" w:rsidR="001C332B" w:rsidRDefault="008352E7" w:rsidP="006E6B76">
            <w:pPr>
              <w:rPr>
                <w:sz w:val="22"/>
                <w:szCs w:val="22"/>
              </w:rPr>
            </w:pPr>
            <w:r>
              <w:rPr>
                <w:b/>
                <w:sz w:val="22"/>
                <w:szCs w:val="22"/>
              </w:rPr>
              <w:t>Ara h 6</w:t>
            </w:r>
          </w:p>
        </w:tc>
        <w:tc>
          <w:tcPr>
            <w:tcW w:w="851" w:type="dxa"/>
          </w:tcPr>
          <w:p w14:paraId="537D22A2" w14:textId="77777777" w:rsidR="001C332B" w:rsidRPr="005F5C5A" w:rsidRDefault="008352E7" w:rsidP="006E6B76">
            <w:pPr>
              <w:jc w:val="center"/>
              <w:rPr>
                <w:sz w:val="20"/>
                <w:szCs w:val="22"/>
              </w:rPr>
            </w:pPr>
            <w:r w:rsidRPr="005F5C5A">
              <w:rPr>
                <w:sz w:val="20"/>
                <w:szCs w:val="22"/>
              </w:rPr>
              <w:t>15.8%</w:t>
            </w:r>
          </w:p>
        </w:tc>
        <w:tc>
          <w:tcPr>
            <w:tcW w:w="992" w:type="dxa"/>
          </w:tcPr>
          <w:p w14:paraId="02A67AB2" w14:textId="77777777" w:rsidR="001C332B" w:rsidRPr="005F5C5A" w:rsidRDefault="008352E7" w:rsidP="006E6B76">
            <w:pPr>
              <w:jc w:val="center"/>
              <w:rPr>
                <w:sz w:val="20"/>
                <w:szCs w:val="22"/>
              </w:rPr>
            </w:pPr>
            <w:r w:rsidRPr="005F5C5A">
              <w:rPr>
                <w:sz w:val="20"/>
                <w:szCs w:val="22"/>
              </w:rPr>
              <w:t>0%</w:t>
            </w:r>
          </w:p>
        </w:tc>
        <w:tc>
          <w:tcPr>
            <w:tcW w:w="859" w:type="dxa"/>
            <w:shd w:val="clear" w:color="auto" w:fill="E7E6E6"/>
          </w:tcPr>
          <w:p w14:paraId="47BDA9F9" w14:textId="77777777" w:rsidR="001C332B" w:rsidRPr="005F5C5A" w:rsidRDefault="001C332B" w:rsidP="006E6B76">
            <w:pPr>
              <w:jc w:val="center"/>
              <w:rPr>
                <w:sz w:val="20"/>
                <w:szCs w:val="22"/>
              </w:rPr>
            </w:pPr>
          </w:p>
        </w:tc>
        <w:tc>
          <w:tcPr>
            <w:tcW w:w="960" w:type="dxa"/>
            <w:shd w:val="clear" w:color="auto" w:fill="E7E6E6"/>
          </w:tcPr>
          <w:p w14:paraId="522E8ED9" w14:textId="77777777" w:rsidR="001C332B" w:rsidRPr="005F5C5A" w:rsidRDefault="001C332B" w:rsidP="006E6B76">
            <w:pPr>
              <w:jc w:val="center"/>
              <w:rPr>
                <w:sz w:val="20"/>
                <w:szCs w:val="22"/>
              </w:rPr>
            </w:pPr>
          </w:p>
        </w:tc>
        <w:tc>
          <w:tcPr>
            <w:tcW w:w="945" w:type="dxa"/>
            <w:shd w:val="clear" w:color="auto" w:fill="E7E6E6"/>
          </w:tcPr>
          <w:p w14:paraId="5F2B000F" w14:textId="77777777" w:rsidR="001C332B" w:rsidRPr="005F5C5A" w:rsidRDefault="001C332B" w:rsidP="006E6B76">
            <w:pPr>
              <w:jc w:val="center"/>
              <w:rPr>
                <w:sz w:val="20"/>
                <w:szCs w:val="22"/>
              </w:rPr>
            </w:pPr>
          </w:p>
        </w:tc>
        <w:tc>
          <w:tcPr>
            <w:tcW w:w="886" w:type="dxa"/>
            <w:shd w:val="clear" w:color="auto" w:fill="FFFFFF"/>
          </w:tcPr>
          <w:p w14:paraId="0FAE2881" w14:textId="77777777" w:rsidR="001C332B" w:rsidRPr="005F5C5A" w:rsidRDefault="008352E7" w:rsidP="006E6B76">
            <w:pPr>
              <w:jc w:val="center"/>
              <w:rPr>
                <w:sz w:val="20"/>
                <w:szCs w:val="22"/>
              </w:rPr>
            </w:pPr>
            <w:r w:rsidRPr="005F5C5A">
              <w:rPr>
                <w:sz w:val="20"/>
                <w:szCs w:val="22"/>
              </w:rPr>
              <w:t>15.8%</w:t>
            </w:r>
          </w:p>
        </w:tc>
        <w:tc>
          <w:tcPr>
            <w:tcW w:w="1028" w:type="dxa"/>
            <w:shd w:val="clear" w:color="auto" w:fill="FFFFFF"/>
          </w:tcPr>
          <w:p w14:paraId="2754834E" w14:textId="77777777" w:rsidR="001C332B" w:rsidRPr="005F5C5A" w:rsidRDefault="008352E7" w:rsidP="006E6B76">
            <w:pPr>
              <w:jc w:val="center"/>
              <w:rPr>
                <w:sz w:val="20"/>
                <w:szCs w:val="22"/>
              </w:rPr>
            </w:pPr>
            <w:r w:rsidRPr="005F5C5A">
              <w:rPr>
                <w:sz w:val="20"/>
                <w:szCs w:val="22"/>
              </w:rPr>
              <w:t>0%</w:t>
            </w:r>
          </w:p>
        </w:tc>
        <w:tc>
          <w:tcPr>
            <w:tcW w:w="936" w:type="dxa"/>
            <w:shd w:val="clear" w:color="auto" w:fill="FFFFFF"/>
          </w:tcPr>
          <w:p w14:paraId="703E01C7" w14:textId="77777777" w:rsidR="001C332B" w:rsidRPr="005F5C5A" w:rsidRDefault="008352E7" w:rsidP="006E6B76">
            <w:pPr>
              <w:jc w:val="center"/>
              <w:rPr>
                <w:sz w:val="20"/>
                <w:szCs w:val="22"/>
              </w:rPr>
            </w:pPr>
            <w:r w:rsidRPr="005F5C5A">
              <w:rPr>
                <w:sz w:val="20"/>
                <w:szCs w:val="22"/>
              </w:rPr>
              <w:t>0.641 (1)</w:t>
            </w:r>
          </w:p>
        </w:tc>
      </w:tr>
      <w:tr w:rsidR="001C332B" w14:paraId="2AB98A7B" w14:textId="77777777" w:rsidTr="006E6B76">
        <w:trPr>
          <w:trHeight w:val="113"/>
        </w:trPr>
        <w:tc>
          <w:tcPr>
            <w:tcW w:w="1276" w:type="dxa"/>
            <w:vMerge/>
          </w:tcPr>
          <w:p w14:paraId="796E8217" w14:textId="77777777" w:rsidR="001C332B" w:rsidRDefault="001C332B" w:rsidP="006E6B76">
            <w:pPr>
              <w:widowControl w:val="0"/>
              <w:rPr>
                <w:sz w:val="22"/>
                <w:szCs w:val="22"/>
              </w:rPr>
            </w:pPr>
          </w:p>
        </w:tc>
        <w:tc>
          <w:tcPr>
            <w:tcW w:w="1134" w:type="dxa"/>
            <w:shd w:val="clear" w:color="auto" w:fill="E7E6E6"/>
          </w:tcPr>
          <w:p w14:paraId="1F81A465" w14:textId="77777777" w:rsidR="001C332B" w:rsidRDefault="008352E7" w:rsidP="006E6B76">
            <w:pPr>
              <w:rPr>
                <w:sz w:val="22"/>
                <w:szCs w:val="22"/>
              </w:rPr>
            </w:pPr>
            <w:r>
              <w:rPr>
                <w:b/>
                <w:sz w:val="22"/>
                <w:szCs w:val="22"/>
              </w:rPr>
              <w:t>Ara h 8</w:t>
            </w:r>
          </w:p>
        </w:tc>
        <w:tc>
          <w:tcPr>
            <w:tcW w:w="851" w:type="dxa"/>
          </w:tcPr>
          <w:p w14:paraId="4B8C69DE" w14:textId="77777777" w:rsidR="001C332B" w:rsidRPr="005F5C5A" w:rsidRDefault="008352E7" w:rsidP="006E6B76">
            <w:pPr>
              <w:jc w:val="center"/>
              <w:rPr>
                <w:sz w:val="20"/>
                <w:szCs w:val="22"/>
              </w:rPr>
            </w:pPr>
            <w:r w:rsidRPr="005F5C5A">
              <w:rPr>
                <w:sz w:val="20"/>
                <w:szCs w:val="22"/>
              </w:rPr>
              <w:t>0%</w:t>
            </w:r>
          </w:p>
        </w:tc>
        <w:tc>
          <w:tcPr>
            <w:tcW w:w="992" w:type="dxa"/>
          </w:tcPr>
          <w:p w14:paraId="64C645CF" w14:textId="77777777" w:rsidR="001C332B" w:rsidRPr="005F5C5A" w:rsidRDefault="008352E7" w:rsidP="006E6B76">
            <w:pPr>
              <w:jc w:val="center"/>
              <w:rPr>
                <w:sz w:val="20"/>
                <w:szCs w:val="22"/>
              </w:rPr>
            </w:pPr>
            <w:r w:rsidRPr="005F5C5A">
              <w:rPr>
                <w:sz w:val="20"/>
                <w:szCs w:val="22"/>
              </w:rPr>
              <w:t>0%</w:t>
            </w:r>
          </w:p>
        </w:tc>
        <w:tc>
          <w:tcPr>
            <w:tcW w:w="859" w:type="dxa"/>
            <w:shd w:val="clear" w:color="auto" w:fill="E7E6E6"/>
          </w:tcPr>
          <w:p w14:paraId="25710013" w14:textId="77777777" w:rsidR="001C332B" w:rsidRPr="005F5C5A" w:rsidRDefault="001C332B" w:rsidP="006E6B76">
            <w:pPr>
              <w:jc w:val="center"/>
              <w:rPr>
                <w:sz w:val="20"/>
                <w:szCs w:val="22"/>
              </w:rPr>
            </w:pPr>
          </w:p>
        </w:tc>
        <w:tc>
          <w:tcPr>
            <w:tcW w:w="960" w:type="dxa"/>
            <w:shd w:val="clear" w:color="auto" w:fill="E7E6E6"/>
          </w:tcPr>
          <w:p w14:paraId="7B1CA5A0" w14:textId="77777777" w:rsidR="001C332B" w:rsidRPr="005F5C5A" w:rsidRDefault="001C332B" w:rsidP="006E6B76">
            <w:pPr>
              <w:jc w:val="center"/>
              <w:rPr>
                <w:sz w:val="20"/>
                <w:szCs w:val="22"/>
              </w:rPr>
            </w:pPr>
          </w:p>
        </w:tc>
        <w:tc>
          <w:tcPr>
            <w:tcW w:w="945" w:type="dxa"/>
            <w:shd w:val="clear" w:color="auto" w:fill="E7E6E6"/>
          </w:tcPr>
          <w:p w14:paraId="150AEB55" w14:textId="77777777" w:rsidR="001C332B" w:rsidRPr="005F5C5A" w:rsidRDefault="001C332B" w:rsidP="006E6B76">
            <w:pPr>
              <w:jc w:val="center"/>
              <w:rPr>
                <w:sz w:val="20"/>
                <w:szCs w:val="22"/>
              </w:rPr>
            </w:pPr>
          </w:p>
        </w:tc>
        <w:tc>
          <w:tcPr>
            <w:tcW w:w="886" w:type="dxa"/>
            <w:shd w:val="clear" w:color="auto" w:fill="FFFFFF"/>
          </w:tcPr>
          <w:p w14:paraId="5EF2C743" w14:textId="77777777" w:rsidR="001C332B" w:rsidRPr="005F5C5A" w:rsidRDefault="008352E7" w:rsidP="006E6B76">
            <w:pPr>
              <w:jc w:val="center"/>
              <w:rPr>
                <w:sz w:val="20"/>
                <w:szCs w:val="22"/>
              </w:rPr>
            </w:pPr>
            <w:r w:rsidRPr="005F5C5A">
              <w:rPr>
                <w:sz w:val="20"/>
                <w:szCs w:val="22"/>
              </w:rPr>
              <w:t>0%</w:t>
            </w:r>
          </w:p>
        </w:tc>
        <w:tc>
          <w:tcPr>
            <w:tcW w:w="1028" w:type="dxa"/>
            <w:shd w:val="clear" w:color="auto" w:fill="FFFFFF"/>
          </w:tcPr>
          <w:p w14:paraId="22D335B3" w14:textId="77777777" w:rsidR="001C332B" w:rsidRPr="005F5C5A" w:rsidRDefault="008352E7" w:rsidP="006E6B76">
            <w:pPr>
              <w:jc w:val="center"/>
              <w:rPr>
                <w:sz w:val="20"/>
                <w:szCs w:val="22"/>
              </w:rPr>
            </w:pPr>
            <w:r w:rsidRPr="005F5C5A">
              <w:rPr>
                <w:sz w:val="20"/>
                <w:szCs w:val="22"/>
              </w:rPr>
              <w:t>0%</w:t>
            </w:r>
          </w:p>
        </w:tc>
        <w:tc>
          <w:tcPr>
            <w:tcW w:w="936" w:type="dxa"/>
            <w:shd w:val="clear" w:color="auto" w:fill="FFFFFF"/>
          </w:tcPr>
          <w:p w14:paraId="1BBFDE22" w14:textId="77777777" w:rsidR="001C332B" w:rsidRPr="005F5C5A" w:rsidRDefault="008352E7" w:rsidP="006E6B76">
            <w:pPr>
              <w:jc w:val="center"/>
              <w:rPr>
                <w:sz w:val="20"/>
                <w:szCs w:val="22"/>
              </w:rPr>
            </w:pPr>
            <w:r w:rsidRPr="005F5C5A">
              <w:rPr>
                <w:sz w:val="20"/>
                <w:szCs w:val="22"/>
              </w:rPr>
              <w:t>NA</w:t>
            </w:r>
          </w:p>
        </w:tc>
      </w:tr>
      <w:tr w:rsidR="001C332B" w14:paraId="4EC5845F" w14:textId="77777777" w:rsidTr="006E6B76">
        <w:trPr>
          <w:trHeight w:val="113"/>
        </w:trPr>
        <w:tc>
          <w:tcPr>
            <w:tcW w:w="1276" w:type="dxa"/>
            <w:vMerge/>
          </w:tcPr>
          <w:p w14:paraId="2B025924" w14:textId="77777777" w:rsidR="001C332B" w:rsidRDefault="001C332B" w:rsidP="006E6B76">
            <w:pPr>
              <w:widowControl w:val="0"/>
              <w:rPr>
                <w:sz w:val="22"/>
                <w:szCs w:val="22"/>
              </w:rPr>
            </w:pPr>
          </w:p>
        </w:tc>
        <w:tc>
          <w:tcPr>
            <w:tcW w:w="1134" w:type="dxa"/>
            <w:shd w:val="clear" w:color="auto" w:fill="E7E6E6"/>
          </w:tcPr>
          <w:p w14:paraId="1422865C" w14:textId="77777777" w:rsidR="001C332B" w:rsidRDefault="008352E7" w:rsidP="006E6B76">
            <w:pPr>
              <w:rPr>
                <w:sz w:val="22"/>
                <w:szCs w:val="22"/>
              </w:rPr>
            </w:pPr>
            <w:r>
              <w:rPr>
                <w:b/>
                <w:sz w:val="22"/>
                <w:szCs w:val="22"/>
              </w:rPr>
              <w:t>Ara h 9</w:t>
            </w:r>
          </w:p>
        </w:tc>
        <w:tc>
          <w:tcPr>
            <w:tcW w:w="851" w:type="dxa"/>
          </w:tcPr>
          <w:p w14:paraId="0B892774" w14:textId="77777777" w:rsidR="001C332B" w:rsidRPr="005F5C5A" w:rsidRDefault="008352E7" w:rsidP="006E6B76">
            <w:pPr>
              <w:jc w:val="center"/>
              <w:rPr>
                <w:sz w:val="20"/>
                <w:szCs w:val="22"/>
              </w:rPr>
            </w:pPr>
            <w:r w:rsidRPr="005F5C5A">
              <w:rPr>
                <w:sz w:val="20"/>
                <w:szCs w:val="22"/>
              </w:rPr>
              <w:t>84.2%</w:t>
            </w:r>
          </w:p>
        </w:tc>
        <w:tc>
          <w:tcPr>
            <w:tcW w:w="992" w:type="dxa"/>
          </w:tcPr>
          <w:p w14:paraId="27BB512D" w14:textId="77777777" w:rsidR="001C332B" w:rsidRPr="005F5C5A" w:rsidRDefault="008352E7" w:rsidP="006E6B76">
            <w:pPr>
              <w:jc w:val="center"/>
              <w:rPr>
                <w:sz w:val="20"/>
                <w:szCs w:val="22"/>
              </w:rPr>
            </w:pPr>
            <w:r w:rsidRPr="005F5C5A">
              <w:rPr>
                <w:sz w:val="20"/>
                <w:szCs w:val="22"/>
              </w:rPr>
              <w:t>0%</w:t>
            </w:r>
          </w:p>
        </w:tc>
        <w:tc>
          <w:tcPr>
            <w:tcW w:w="859" w:type="dxa"/>
            <w:shd w:val="clear" w:color="auto" w:fill="FFFFFF"/>
          </w:tcPr>
          <w:p w14:paraId="5826027D" w14:textId="77777777" w:rsidR="001C332B" w:rsidRPr="005F5C5A" w:rsidRDefault="008352E7" w:rsidP="006E6B76">
            <w:pPr>
              <w:jc w:val="center"/>
              <w:rPr>
                <w:sz w:val="20"/>
                <w:szCs w:val="22"/>
              </w:rPr>
            </w:pPr>
            <w:r w:rsidRPr="005F5C5A">
              <w:rPr>
                <w:sz w:val="20"/>
                <w:szCs w:val="22"/>
              </w:rPr>
              <w:t>84.2%</w:t>
            </w:r>
          </w:p>
        </w:tc>
        <w:tc>
          <w:tcPr>
            <w:tcW w:w="960" w:type="dxa"/>
            <w:shd w:val="clear" w:color="auto" w:fill="FFFFFF"/>
          </w:tcPr>
          <w:p w14:paraId="453A58C4" w14:textId="77777777" w:rsidR="001C332B" w:rsidRPr="005F5C5A" w:rsidRDefault="008352E7" w:rsidP="006E6B76">
            <w:pPr>
              <w:jc w:val="center"/>
              <w:rPr>
                <w:sz w:val="20"/>
                <w:szCs w:val="22"/>
              </w:rPr>
            </w:pPr>
            <w:r w:rsidRPr="005F5C5A">
              <w:rPr>
                <w:sz w:val="20"/>
                <w:szCs w:val="22"/>
              </w:rPr>
              <w:t>0%</w:t>
            </w:r>
          </w:p>
        </w:tc>
        <w:tc>
          <w:tcPr>
            <w:tcW w:w="945" w:type="dxa"/>
            <w:shd w:val="clear" w:color="auto" w:fill="FFFFFF"/>
          </w:tcPr>
          <w:p w14:paraId="6A6C2B7F" w14:textId="77777777" w:rsidR="001C332B" w:rsidRPr="005F5C5A" w:rsidRDefault="008352E7" w:rsidP="006E6B76">
            <w:pPr>
              <w:jc w:val="center"/>
              <w:rPr>
                <w:sz w:val="20"/>
                <w:szCs w:val="22"/>
              </w:rPr>
            </w:pPr>
            <w:r w:rsidRPr="005F5C5A">
              <w:rPr>
                <w:sz w:val="20"/>
                <w:szCs w:val="22"/>
              </w:rPr>
              <w:t>1 (1)</w:t>
            </w:r>
          </w:p>
        </w:tc>
        <w:tc>
          <w:tcPr>
            <w:tcW w:w="886" w:type="dxa"/>
            <w:shd w:val="clear" w:color="auto" w:fill="FFFFFF"/>
          </w:tcPr>
          <w:p w14:paraId="52CD8E3D" w14:textId="77777777" w:rsidR="001C332B" w:rsidRPr="005F5C5A" w:rsidRDefault="008352E7" w:rsidP="006E6B76">
            <w:pPr>
              <w:jc w:val="center"/>
              <w:rPr>
                <w:sz w:val="20"/>
                <w:szCs w:val="22"/>
              </w:rPr>
            </w:pPr>
            <w:r w:rsidRPr="005F5C5A">
              <w:rPr>
                <w:sz w:val="20"/>
                <w:szCs w:val="22"/>
              </w:rPr>
              <w:t>73.7%</w:t>
            </w:r>
          </w:p>
        </w:tc>
        <w:tc>
          <w:tcPr>
            <w:tcW w:w="1028" w:type="dxa"/>
            <w:shd w:val="clear" w:color="auto" w:fill="FFFFFF"/>
          </w:tcPr>
          <w:p w14:paraId="32D6919A" w14:textId="77777777" w:rsidR="001C332B" w:rsidRPr="005F5C5A" w:rsidRDefault="008352E7" w:rsidP="006E6B76">
            <w:pPr>
              <w:jc w:val="center"/>
              <w:rPr>
                <w:sz w:val="20"/>
                <w:szCs w:val="22"/>
              </w:rPr>
            </w:pPr>
            <w:r w:rsidRPr="005F5C5A">
              <w:rPr>
                <w:sz w:val="20"/>
                <w:szCs w:val="22"/>
              </w:rPr>
              <w:t>0%</w:t>
            </w:r>
          </w:p>
        </w:tc>
        <w:tc>
          <w:tcPr>
            <w:tcW w:w="936" w:type="dxa"/>
            <w:shd w:val="clear" w:color="auto" w:fill="FFFFFF"/>
          </w:tcPr>
          <w:p w14:paraId="6C9C99CF" w14:textId="77777777" w:rsidR="001C332B" w:rsidRPr="005F5C5A" w:rsidRDefault="008352E7" w:rsidP="006E6B76">
            <w:pPr>
              <w:jc w:val="center"/>
              <w:rPr>
                <w:sz w:val="20"/>
                <w:szCs w:val="22"/>
              </w:rPr>
            </w:pPr>
            <w:r w:rsidRPr="005F5C5A">
              <w:rPr>
                <w:sz w:val="20"/>
                <w:szCs w:val="22"/>
              </w:rPr>
              <w:t>0.897 (0.5)</w:t>
            </w:r>
          </w:p>
        </w:tc>
      </w:tr>
      <w:tr w:rsidR="001C332B" w14:paraId="57C5922E" w14:textId="77777777" w:rsidTr="006E6B76">
        <w:trPr>
          <w:trHeight w:val="113"/>
        </w:trPr>
        <w:tc>
          <w:tcPr>
            <w:tcW w:w="1276" w:type="dxa"/>
            <w:vMerge/>
          </w:tcPr>
          <w:p w14:paraId="0A741931" w14:textId="77777777" w:rsidR="001C332B" w:rsidRDefault="001C332B" w:rsidP="006E6B76">
            <w:pPr>
              <w:widowControl w:val="0"/>
              <w:rPr>
                <w:sz w:val="22"/>
                <w:szCs w:val="22"/>
              </w:rPr>
            </w:pPr>
          </w:p>
        </w:tc>
        <w:tc>
          <w:tcPr>
            <w:tcW w:w="1134" w:type="dxa"/>
            <w:shd w:val="clear" w:color="auto" w:fill="E7E6E6"/>
          </w:tcPr>
          <w:p w14:paraId="22F716C3" w14:textId="77777777" w:rsidR="001C332B" w:rsidRDefault="008352E7" w:rsidP="006E6B76">
            <w:pPr>
              <w:rPr>
                <w:sz w:val="22"/>
                <w:szCs w:val="22"/>
              </w:rPr>
            </w:pPr>
            <w:r>
              <w:rPr>
                <w:b/>
                <w:sz w:val="22"/>
                <w:szCs w:val="22"/>
              </w:rPr>
              <w:t>Ara h 15</w:t>
            </w:r>
          </w:p>
        </w:tc>
        <w:tc>
          <w:tcPr>
            <w:tcW w:w="851" w:type="dxa"/>
          </w:tcPr>
          <w:p w14:paraId="7C3105E3" w14:textId="77777777" w:rsidR="001C332B" w:rsidRPr="005F5C5A" w:rsidRDefault="008352E7" w:rsidP="006E6B76">
            <w:pPr>
              <w:jc w:val="center"/>
              <w:rPr>
                <w:sz w:val="20"/>
                <w:szCs w:val="22"/>
              </w:rPr>
            </w:pPr>
            <w:r w:rsidRPr="005F5C5A">
              <w:rPr>
                <w:sz w:val="20"/>
                <w:szCs w:val="22"/>
              </w:rPr>
              <w:t>0%</w:t>
            </w:r>
          </w:p>
        </w:tc>
        <w:tc>
          <w:tcPr>
            <w:tcW w:w="992" w:type="dxa"/>
          </w:tcPr>
          <w:p w14:paraId="7FBBC781" w14:textId="77777777" w:rsidR="001C332B" w:rsidRPr="005F5C5A" w:rsidRDefault="008352E7" w:rsidP="006E6B76">
            <w:pPr>
              <w:jc w:val="center"/>
              <w:rPr>
                <w:sz w:val="20"/>
                <w:szCs w:val="22"/>
              </w:rPr>
            </w:pPr>
            <w:r w:rsidRPr="005F5C5A">
              <w:rPr>
                <w:sz w:val="20"/>
                <w:szCs w:val="22"/>
              </w:rPr>
              <w:t>4.3%</w:t>
            </w:r>
          </w:p>
        </w:tc>
        <w:tc>
          <w:tcPr>
            <w:tcW w:w="859" w:type="dxa"/>
            <w:shd w:val="clear" w:color="auto" w:fill="E7E6E6"/>
          </w:tcPr>
          <w:p w14:paraId="61E18B62" w14:textId="77777777" w:rsidR="001C332B" w:rsidRPr="005F5C5A" w:rsidRDefault="001C332B" w:rsidP="006E6B76">
            <w:pPr>
              <w:jc w:val="center"/>
              <w:rPr>
                <w:sz w:val="20"/>
                <w:szCs w:val="22"/>
              </w:rPr>
            </w:pPr>
          </w:p>
        </w:tc>
        <w:tc>
          <w:tcPr>
            <w:tcW w:w="960" w:type="dxa"/>
            <w:shd w:val="clear" w:color="auto" w:fill="E7E6E6"/>
          </w:tcPr>
          <w:p w14:paraId="24AD219E" w14:textId="77777777" w:rsidR="001C332B" w:rsidRPr="005F5C5A" w:rsidRDefault="001C332B" w:rsidP="006E6B76">
            <w:pPr>
              <w:jc w:val="center"/>
              <w:rPr>
                <w:sz w:val="20"/>
                <w:szCs w:val="22"/>
              </w:rPr>
            </w:pPr>
          </w:p>
        </w:tc>
        <w:tc>
          <w:tcPr>
            <w:tcW w:w="945" w:type="dxa"/>
            <w:shd w:val="clear" w:color="auto" w:fill="E7E6E6"/>
          </w:tcPr>
          <w:p w14:paraId="20EF7D45" w14:textId="77777777" w:rsidR="001C332B" w:rsidRPr="005F5C5A" w:rsidRDefault="001C332B" w:rsidP="006E6B76">
            <w:pPr>
              <w:jc w:val="center"/>
              <w:rPr>
                <w:sz w:val="20"/>
                <w:szCs w:val="22"/>
              </w:rPr>
            </w:pPr>
          </w:p>
        </w:tc>
        <w:tc>
          <w:tcPr>
            <w:tcW w:w="886" w:type="dxa"/>
            <w:shd w:val="clear" w:color="auto" w:fill="E7E6E6"/>
          </w:tcPr>
          <w:p w14:paraId="1EA595DD" w14:textId="77777777" w:rsidR="001C332B" w:rsidRPr="005F5C5A" w:rsidRDefault="001C332B" w:rsidP="006E6B76">
            <w:pPr>
              <w:jc w:val="center"/>
              <w:rPr>
                <w:sz w:val="20"/>
                <w:szCs w:val="22"/>
              </w:rPr>
            </w:pPr>
          </w:p>
        </w:tc>
        <w:tc>
          <w:tcPr>
            <w:tcW w:w="1028" w:type="dxa"/>
            <w:shd w:val="clear" w:color="auto" w:fill="E7E6E6"/>
          </w:tcPr>
          <w:p w14:paraId="5172F1F0" w14:textId="77777777" w:rsidR="001C332B" w:rsidRPr="005F5C5A" w:rsidRDefault="001C332B" w:rsidP="006E6B76">
            <w:pPr>
              <w:jc w:val="center"/>
              <w:rPr>
                <w:sz w:val="20"/>
                <w:szCs w:val="22"/>
              </w:rPr>
            </w:pPr>
          </w:p>
        </w:tc>
        <w:tc>
          <w:tcPr>
            <w:tcW w:w="936" w:type="dxa"/>
            <w:shd w:val="clear" w:color="auto" w:fill="E7E6E6"/>
          </w:tcPr>
          <w:p w14:paraId="41B855EF" w14:textId="77777777" w:rsidR="001C332B" w:rsidRPr="005F5C5A" w:rsidRDefault="001C332B" w:rsidP="006E6B76">
            <w:pPr>
              <w:jc w:val="center"/>
              <w:rPr>
                <w:sz w:val="20"/>
                <w:szCs w:val="22"/>
              </w:rPr>
            </w:pPr>
          </w:p>
        </w:tc>
      </w:tr>
    </w:tbl>
    <w:p w14:paraId="5185DF2D" w14:textId="77777777" w:rsidR="001C332B" w:rsidRDefault="008352E7" w:rsidP="008352E7">
      <w:pPr>
        <w:spacing w:line="276" w:lineRule="auto"/>
      </w:pPr>
      <w:r>
        <w:br w:type="page"/>
      </w:r>
    </w:p>
    <w:p w14:paraId="17CFB3D7" w14:textId="77777777" w:rsidR="001C332B" w:rsidRDefault="008352E7" w:rsidP="008352E7">
      <w:pPr>
        <w:spacing w:line="276" w:lineRule="auto"/>
      </w:pPr>
      <w:r>
        <w:rPr>
          <w:b/>
        </w:rPr>
        <w:lastRenderedPageBreak/>
        <w:t>Table III.</w:t>
      </w:r>
      <w:r>
        <w:t xml:space="preserve"> </w:t>
      </w:r>
      <w:proofErr w:type="spellStart"/>
      <w:r>
        <w:t>sIgE</w:t>
      </w:r>
      <w:proofErr w:type="spellEnd"/>
      <w:r>
        <w:t xml:space="preserve"> levels (</w:t>
      </w:r>
      <w:proofErr w:type="spellStart"/>
      <w:r>
        <w:t>kU</w:t>
      </w:r>
      <w:r>
        <w:rPr>
          <w:vertAlign w:val="subscript"/>
        </w:rPr>
        <w:t>A</w:t>
      </w:r>
      <w:proofErr w:type="spellEnd"/>
      <w:r>
        <w:t xml:space="preserve">/L) against the major allergens measured by ALEX2 and by ImmunoCAP, for cases and controls. Median and IQR are presented. Spearman correlation between the two techniques was calculated combining cases and controls together. Spearman correlation Rho coefficients and </w:t>
      </w:r>
      <w:r>
        <w:rPr>
          <w:i/>
        </w:rPr>
        <w:t>p</w:t>
      </w:r>
      <w:r>
        <w:t>-values are presented.</w:t>
      </w:r>
    </w:p>
    <w:tbl>
      <w:tblPr>
        <w:tblStyle w:val="affff6"/>
        <w:tblW w:w="99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55"/>
        <w:gridCol w:w="1080"/>
        <w:gridCol w:w="1571"/>
        <w:gridCol w:w="1324"/>
        <w:gridCol w:w="1485"/>
        <w:gridCol w:w="1170"/>
        <w:gridCol w:w="855"/>
        <w:gridCol w:w="1005"/>
      </w:tblGrid>
      <w:tr w:rsidR="001C332B" w:rsidRPr="003C24B8" w14:paraId="672B6385" w14:textId="77777777">
        <w:trPr>
          <w:trHeight w:val="340"/>
        </w:trPr>
        <w:tc>
          <w:tcPr>
            <w:tcW w:w="1455" w:type="dxa"/>
          </w:tcPr>
          <w:p w14:paraId="16330790" w14:textId="77777777" w:rsidR="001C332B" w:rsidRPr="003C24B8" w:rsidRDefault="001C332B" w:rsidP="008352E7">
            <w:pPr>
              <w:spacing w:line="276" w:lineRule="auto"/>
              <w:rPr>
                <w:i/>
                <w:sz w:val="22"/>
                <w:szCs w:val="22"/>
              </w:rPr>
            </w:pPr>
          </w:p>
        </w:tc>
        <w:tc>
          <w:tcPr>
            <w:tcW w:w="1080" w:type="dxa"/>
          </w:tcPr>
          <w:p w14:paraId="3EB5EB97" w14:textId="77777777" w:rsidR="001C332B" w:rsidRPr="003C24B8" w:rsidRDefault="008352E7" w:rsidP="008352E7">
            <w:pPr>
              <w:spacing w:line="276" w:lineRule="auto"/>
              <w:jc w:val="center"/>
              <w:rPr>
                <w:b/>
                <w:sz w:val="22"/>
                <w:szCs w:val="22"/>
              </w:rPr>
            </w:pPr>
            <w:r w:rsidRPr="003C24B8">
              <w:rPr>
                <w:b/>
                <w:sz w:val="22"/>
                <w:szCs w:val="22"/>
              </w:rPr>
              <w:t> </w:t>
            </w:r>
          </w:p>
        </w:tc>
        <w:tc>
          <w:tcPr>
            <w:tcW w:w="2895" w:type="dxa"/>
            <w:gridSpan w:val="2"/>
          </w:tcPr>
          <w:p w14:paraId="641BD63F" w14:textId="77777777" w:rsidR="001C332B" w:rsidRPr="003C24B8" w:rsidRDefault="008352E7" w:rsidP="008352E7">
            <w:pPr>
              <w:spacing w:line="276" w:lineRule="auto"/>
              <w:jc w:val="center"/>
              <w:rPr>
                <w:b/>
                <w:sz w:val="22"/>
                <w:szCs w:val="22"/>
              </w:rPr>
            </w:pPr>
            <w:r w:rsidRPr="003C24B8">
              <w:rPr>
                <w:b/>
                <w:sz w:val="22"/>
                <w:szCs w:val="22"/>
              </w:rPr>
              <w:t>ALEX2</w:t>
            </w:r>
          </w:p>
          <w:p w14:paraId="1AF7194A" w14:textId="77777777" w:rsidR="001C332B" w:rsidRPr="003C24B8" w:rsidRDefault="008352E7" w:rsidP="008352E7">
            <w:pPr>
              <w:spacing w:line="276" w:lineRule="auto"/>
              <w:jc w:val="center"/>
              <w:rPr>
                <w:b/>
                <w:sz w:val="20"/>
                <w:szCs w:val="22"/>
              </w:rPr>
            </w:pPr>
            <w:r w:rsidRPr="003C24B8">
              <w:rPr>
                <w:b/>
                <w:sz w:val="20"/>
                <w:szCs w:val="22"/>
              </w:rPr>
              <w:t>[</w:t>
            </w:r>
            <w:proofErr w:type="spellStart"/>
            <w:r w:rsidRPr="003C24B8">
              <w:rPr>
                <w:b/>
                <w:sz w:val="20"/>
                <w:szCs w:val="22"/>
              </w:rPr>
              <w:t>kU</w:t>
            </w:r>
            <w:r w:rsidRPr="003C24B8">
              <w:rPr>
                <w:b/>
                <w:sz w:val="20"/>
                <w:szCs w:val="22"/>
                <w:vertAlign w:val="subscript"/>
              </w:rPr>
              <w:t>A</w:t>
            </w:r>
            <w:proofErr w:type="spellEnd"/>
            <w:r w:rsidRPr="003C24B8">
              <w:rPr>
                <w:b/>
                <w:sz w:val="20"/>
                <w:szCs w:val="22"/>
              </w:rPr>
              <w:t>/L</w:t>
            </w:r>
            <w:r w:rsidRPr="003C24B8">
              <w:rPr>
                <w:sz w:val="20"/>
                <w:szCs w:val="22"/>
              </w:rPr>
              <w:t>,</w:t>
            </w:r>
            <w:r w:rsidRPr="003C24B8">
              <w:rPr>
                <w:b/>
                <w:sz w:val="20"/>
                <w:szCs w:val="22"/>
              </w:rPr>
              <w:t xml:space="preserve"> median (p25-p75)]</w:t>
            </w:r>
          </w:p>
        </w:tc>
        <w:tc>
          <w:tcPr>
            <w:tcW w:w="2655" w:type="dxa"/>
            <w:gridSpan w:val="2"/>
          </w:tcPr>
          <w:p w14:paraId="1491DCAA" w14:textId="77777777" w:rsidR="001C332B" w:rsidRPr="003C24B8" w:rsidRDefault="008352E7" w:rsidP="008352E7">
            <w:pPr>
              <w:spacing w:line="276" w:lineRule="auto"/>
              <w:jc w:val="center"/>
              <w:rPr>
                <w:b/>
                <w:sz w:val="20"/>
                <w:szCs w:val="22"/>
              </w:rPr>
            </w:pPr>
            <w:r w:rsidRPr="003C24B8">
              <w:rPr>
                <w:b/>
                <w:sz w:val="22"/>
                <w:szCs w:val="22"/>
              </w:rPr>
              <w:t>ImmunoCAP</w:t>
            </w:r>
            <w:r w:rsidRPr="003C24B8">
              <w:rPr>
                <w:b/>
                <w:sz w:val="20"/>
                <w:szCs w:val="22"/>
              </w:rPr>
              <w:t xml:space="preserve"> </w:t>
            </w:r>
          </w:p>
          <w:p w14:paraId="3ACB22C0" w14:textId="77777777" w:rsidR="001C332B" w:rsidRPr="003C24B8" w:rsidRDefault="008352E7" w:rsidP="008352E7">
            <w:pPr>
              <w:spacing w:line="276" w:lineRule="auto"/>
              <w:jc w:val="center"/>
              <w:rPr>
                <w:b/>
                <w:sz w:val="20"/>
                <w:szCs w:val="22"/>
              </w:rPr>
            </w:pPr>
            <w:r w:rsidRPr="003C24B8">
              <w:rPr>
                <w:b/>
                <w:sz w:val="20"/>
                <w:szCs w:val="22"/>
              </w:rPr>
              <w:t>[</w:t>
            </w:r>
            <w:proofErr w:type="spellStart"/>
            <w:r w:rsidRPr="003C24B8">
              <w:rPr>
                <w:b/>
                <w:sz w:val="20"/>
                <w:szCs w:val="22"/>
              </w:rPr>
              <w:t>kU</w:t>
            </w:r>
            <w:r w:rsidRPr="003C24B8">
              <w:rPr>
                <w:b/>
                <w:sz w:val="20"/>
                <w:szCs w:val="22"/>
                <w:vertAlign w:val="subscript"/>
              </w:rPr>
              <w:t>A</w:t>
            </w:r>
            <w:proofErr w:type="spellEnd"/>
            <w:r w:rsidRPr="003C24B8">
              <w:rPr>
                <w:b/>
                <w:sz w:val="20"/>
                <w:szCs w:val="22"/>
              </w:rPr>
              <w:t>/L, median (p25-p75)]</w:t>
            </w:r>
          </w:p>
        </w:tc>
        <w:tc>
          <w:tcPr>
            <w:tcW w:w="1860" w:type="dxa"/>
            <w:gridSpan w:val="2"/>
          </w:tcPr>
          <w:p w14:paraId="1E00F40C" w14:textId="77777777" w:rsidR="001C332B" w:rsidRPr="003C24B8" w:rsidRDefault="008352E7" w:rsidP="008352E7">
            <w:pPr>
              <w:spacing w:line="276" w:lineRule="auto"/>
              <w:jc w:val="center"/>
              <w:rPr>
                <w:b/>
                <w:sz w:val="22"/>
                <w:szCs w:val="22"/>
              </w:rPr>
            </w:pPr>
            <w:r w:rsidRPr="003C24B8">
              <w:rPr>
                <w:b/>
                <w:sz w:val="22"/>
                <w:szCs w:val="22"/>
              </w:rPr>
              <w:t>ALEX2 vs ImmunoCAP</w:t>
            </w:r>
          </w:p>
          <w:p w14:paraId="259F3119" w14:textId="77777777" w:rsidR="001C332B" w:rsidRPr="003C24B8" w:rsidRDefault="008352E7" w:rsidP="008352E7">
            <w:pPr>
              <w:spacing w:line="276" w:lineRule="auto"/>
              <w:jc w:val="center"/>
              <w:rPr>
                <w:b/>
                <w:sz w:val="20"/>
                <w:szCs w:val="22"/>
              </w:rPr>
            </w:pPr>
            <w:r w:rsidRPr="003C24B8">
              <w:rPr>
                <w:b/>
                <w:sz w:val="20"/>
                <w:szCs w:val="22"/>
              </w:rPr>
              <w:t>Spearman correlation</w:t>
            </w:r>
          </w:p>
        </w:tc>
      </w:tr>
      <w:tr w:rsidR="001C332B" w:rsidRPr="003C24B8" w14:paraId="357DA9B3" w14:textId="77777777" w:rsidTr="006E6B76">
        <w:trPr>
          <w:trHeight w:val="500"/>
        </w:trPr>
        <w:tc>
          <w:tcPr>
            <w:tcW w:w="1455" w:type="dxa"/>
          </w:tcPr>
          <w:p w14:paraId="0695E48C" w14:textId="77777777" w:rsidR="001C332B" w:rsidRPr="003C24B8" w:rsidRDefault="008352E7" w:rsidP="008352E7">
            <w:pPr>
              <w:spacing w:line="276" w:lineRule="auto"/>
              <w:jc w:val="center"/>
              <w:rPr>
                <w:b/>
                <w:sz w:val="22"/>
                <w:szCs w:val="22"/>
              </w:rPr>
            </w:pPr>
            <w:r w:rsidRPr="003C24B8">
              <w:rPr>
                <w:b/>
                <w:sz w:val="22"/>
                <w:szCs w:val="22"/>
              </w:rPr>
              <w:t>Biological source</w:t>
            </w:r>
          </w:p>
        </w:tc>
        <w:tc>
          <w:tcPr>
            <w:tcW w:w="1080" w:type="dxa"/>
          </w:tcPr>
          <w:p w14:paraId="3F6D92AB" w14:textId="77777777" w:rsidR="001C332B" w:rsidRPr="003C24B8" w:rsidRDefault="008352E7" w:rsidP="008352E7">
            <w:pPr>
              <w:spacing w:line="276" w:lineRule="auto"/>
              <w:jc w:val="center"/>
              <w:rPr>
                <w:b/>
                <w:sz w:val="22"/>
                <w:szCs w:val="22"/>
              </w:rPr>
            </w:pPr>
            <w:r w:rsidRPr="003C24B8">
              <w:rPr>
                <w:b/>
                <w:sz w:val="22"/>
                <w:szCs w:val="22"/>
              </w:rPr>
              <w:t> </w:t>
            </w:r>
          </w:p>
        </w:tc>
        <w:tc>
          <w:tcPr>
            <w:tcW w:w="1571" w:type="dxa"/>
          </w:tcPr>
          <w:p w14:paraId="69A092B8" w14:textId="77777777" w:rsidR="001C332B" w:rsidRPr="003C24B8" w:rsidRDefault="008352E7" w:rsidP="008352E7">
            <w:pPr>
              <w:spacing w:line="276" w:lineRule="auto"/>
              <w:jc w:val="center"/>
              <w:rPr>
                <w:sz w:val="22"/>
                <w:szCs w:val="22"/>
              </w:rPr>
            </w:pPr>
            <w:r w:rsidRPr="003C24B8">
              <w:rPr>
                <w:sz w:val="22"/>
                <w:szCs w:val="22"/>
              </w:rPr>
              <w:t>Cases</w:t>
            </w:r>
          </w:p>
        </w:tc>
        <w:tc>
          <w:tcPr>
            <w:tcW w:w="1324" w:type="dxa"/>
          </w:tcPr>
          <w:p w14:paraId="50298C90" w14:textId="77777777" w:rsidR="001C332B" w:rsidRPr="003C24B8" w:rsidRDefault="008352E7" w:rsidP="008352E7">
            <w:pPr>
              <w:spacing w:line="276" w:lineRule="auto"/>
              <w:jc w:val="center"/>
              <w:rPr>
                <w:sz w:val="22"/>
                <w:szCs w:val="22"/>
              </w:rPr>
            </w:pPr>
            <w:r w:rsidRPr="003C24B8">
              <w:rPr>
                <w:sz w:val="22"/>
                <w:szCs w:val="22"/>
              </w:rPr>
              <w:t>Controls</w:t>
            </w:r>
          </w:p>
        </w:tc>
        <w:tc>
          <w:tcPr>
            <w:tcW w:w="1485" w:type="dxa"/>
          </w:tcPr>
          <w:p w14:paraId="6502437B" w14:textId="77777777" w:rsidR="001C332B" w:rsidRPr="003C24B8" w:rsidRDefault="008352E7" w:rsidP="008352E7">
            <w:pPr>
              <w:spacing w:line="276" w:lineRule="auto"/>
              <w:jc w:val="center"/>
              <w:rPr>
                <w:i/>
                <w:sz w:val="22"/>
                <w:szCs w:val="22"/>
              </w:rPr>
            </w:pPr>
            <w:r w:rsidRPr="003C24B8">
              <w:rPr>
                <w:sz w:val="22"/>
                <w:szCs w:val="22"/>
              </w:rPr>
              <w:t>Cases</w:t>
            </w:r>
          </w:p>
        </w:tc>
        <w:tc>
          <w:tcPr>
            <w:tcW w:w="1170" w:type="dxa"/>
          </w:tcPr>
          <w:p w14:paraId="22E3B75A" w14:textId="77777777" w:rsidR="001C332B" w:rsidRPr="003C24B8" w:rsidRDefault="008352E7" w:rsidP="008352E7">
            <w:pPr>
              <w:spacing w:line="276" w:lineRule="auto"/>
              <w:jc w:val="center"/>
              <w:rPr>
                <w:i/>
                <w:sz w:val="22"/>
                <w:szCs w:val="22"/>
              </w:rPr>
            </w:pPr>
            <w:r w:rsidRPr="003C24B8">
              <w:rPr>
                <w:sz w:val="22"/>
                <w:szCs w:val="22"/>
              </w:rPr>
              <w:t>Controls</w:t>
            </w:r>
          </w:p>
        </w:tc>
        <w:tc>
          <w:tcPr>
            <w:tcW w:w="855" w:type="dxa"/>
          </w:tcPr>
          <w:p w14:paraId="14FDC03B" w14:textId="77777777" w:rsidR="001C332B" w:rsidRPr="003C24B8" w:rsidRDefault="008352E7" w:rsidP="008352E7">
            <w:pPr>
              <w:spacing w:line="276" w:lineRule="auto"/>
              <w:jc w:val="center"/>
              <w:rPr>
                <w:i/>
                <w:sz w:val="22"/>
                <w:szCs w:val="22"/>
              </w:rPr>
            </w:pPr>
            <w:r w:rsidRPr="003C24B8">
              <w:rPr>
                <w:i/>
                <w:sz w:val="22"/>
                <w:szCs w:val="22"/>
              </w:rPr>
              <w:t>Rho</w:t>
            </w:r>
          </w:p>
        </w:tc>
        <w:tc>
          <w:tcPr>
            <w:tcW w:w="1005" w:type="dxa"/>
          </w:tcPr>
          <w:p w14:paraId="65C44450" w14:textId="77777777" w:rsidR="001C332B" w:rsidRPr="003C24B8" w:rsidRDefault="008352E7" w:rsidP="008352E7">
            <w:pPr>
              <w:spacing w:line="276" w:lineRule="auto"/>
              <w:jc w:val="center"/>
              <w:rPr>
                <w:i/>
                <w:sz w:val="22"/>
                <w:szCs w:val="22"/>
              </w:rPr>
            </w:pPr>
            <w:r w:rsidRPr="003C24B8">
              <w:rPr>
                <w:i/>
                <w:sz w:val="22"/>
                <w:szCs w:val="22"/>
              </w:rPr>
              <w:t>p</w:t>
            </w:r>
          </w:p>
        </w:tc>
      </w:tr>
      <w:tr w:rsidR="001C332B" w:rsidRPr="003C24B8" w14:paraId="19A51405" w14:textId="77777777" w:rsidTr="006E6B76">
        <w:trPr>
          <w:trHeight w:val="320"/>
        </w:trPr>
        <w:tc>
          <w:tcPr>
            <w:tcW w:w="1455" w:type="dxa"/>
          </w:tcPr>
          <w:p w14:paraId="30E3FC70" w14:textId="77777777" w:rsidR="001C332B" w:rsidRPr="003C24B8" w:rsidRDefault="008352E7" w:rsidP="008352E7">
            <w:pPr>
              <w:spacing w:line="276" w:lineRule="auto"/>
              <w:jc w:val="center"/>
              <w:rPr>
                <w:b/>
                <w:sz w:val="20"/>
                <w:szCs w:val="22"/>
              </w:rPr>
            </w:pPr>
            <w:r w:rsidRPr="003C24B8">
              <w:rPr>
                <w:b/>
                <w:sz w:val="20"/>
                <w:szCs w:val="22"/>
              </w:rPr>
              <w:t>Cypress pollen</w:t>
            </w:r>
          </w:p>
        </w:tc>
        <w:tc>
          <w:tcPr>
            <w:tcW w:w="1080" w:type="dxa"/>
            <w:shd w:val="clear" w:color="auto" w:fill="E7E6E6"/>
          </w:tcPr>
          <w:p w14:paraId="3558284F" w14:textId="77777777" w:rsidR="001C332B" w:rsidRPr="003C24B8" w:rsidRDefault="008352E7" w:rsidP="008352E7">
            <w:pPr>
              <w:spacing w:line="276" w:lineRule="auto"/>
              <w:jc w:val="center"/>
              <w:rPr>
                <w:b/>
                <w:sz w:val="22"/>
                <w:szCs w:val="22"/>
              </w:rPr>
            </w:pPr>
            <w:r w:rsidRPr="003C24B8">
              <w:rPr>
                <w:b/>
                <w:sz w:val="22"/>
                <w:szCs w:val="22"/>
              </w:rPr>
              <w:t>Cup a 1</w:t>
            </w:r>
          </w:p>
        </w:tc>
        <w:tc>
          <w:tcPr>
            <w:tcW w:w="1571" w:type="dxa"/>
          </w:tcPr>
          <w:p w14:paraId="120F2D74" w14:textId="77777777" w:rsidR="006E6B76" w:rsidRPr="003C24B8" w:rsidRDefault="008352E7" w:rsidP="008352E7">
            <w:pPr>
              <w:spacing w:line="276" w:lineRule="auto"/>
              <w:jc w:val="center"/>
              <w:rPr>
                <w:sz w:val="22"/>
                <w:szCs w:val="22"/>
              </w:rPr>
            </w:pPr>
            <w:r w:rsidRPr="003C24B8">
              <w:rPr>
                <w:sz w:val="22"/>
                <w:szCs w:val="22"/>
              </w:rPr>
              <w:t xml:space="preserve">7.45 </w:t>
            </w:r>
          </w:p>
          <w:p w14:paraId="6B4F6AF1" w14:textId="77777777" w:rsidR="001C332B" w:rsidRPr="003C24B8" w:rsidRDefault="008352E7" w:rsidP="008352E7">
            <w:pPr>
              <w:spacing w:line="276" w:lineRule="auto"/>
              <w:jc w:val="center"/>
              <w:rPr>
                <w:sz w:val="22"/>
                <w:szCs w:val="22"/>
              </w:rPr>
            </w:pPr>
            <w:r w:rsidRPr="003C24B8">
              <w:rPr>
                <w:sz w:val="22"/>
                <w:szCs w:val="22"/>
              </w:rPr>
              <w:t>(1.39-17.33)</w:t>
            </w:r>
          </w:p>
        </w:tc>
        <w:tc>
          <w:tcPr>
            <w:tcW w:w="1324" w:type="dxa"/>
          </w:tcPr>
          <w:p w14:paraId="60C69B68" w14:textId="77777777" w:rsidR="001C332B" w:rsidRPr="003C24B8" w:rsidRDefault="008352E7" w:rsidP="008352E7">
            <w:pPr>
              <w:spacing w:line="276" w:lineRule="auto"/>
              <w:jc w:val="center"/>
              <w:rPr>
                <w:sz w:val="22"/>
                <w:szCs w:val="22"/>
              </w:rPr>
            </w:pPr>
            <w:r w:rsidRPr="003C24B8">
              <w:rPr>
                <w:sz w:val="22"/>
                <w:szCs w:val="22"/>
              </w:rPr>
              <w:t>0.05</w:t>
            </w:r>
          </w:p>
          <w:p w14:paraId="3E44C85D" w14:textId="77777777" w:rsidR="001C332B" w:rsidRPr="003C24B8" w:rsidRDefault="008352E7" w:rsidP="008352E7">
            <w:pPr>
              <w:spacing w:line="276" w:lineRule="auto"/>
              <w:jc w:val="center"/>
              <w:rPr>
                <w:sz w:val="22"/>
                <w:szCs w:val="22"/>
              </w:rPr>
            </w:pPr>
            <w:r w:rsidRPr="003C24B8">
              <w:rPr>
                <w:sz w:val="22"/>
                <w:szCs w:val="22"/>
              </w:rPr>
              <w:t>(0-0.12)</w:t>
            </w:r>
          </w:p>
        </w:tc>
        <w:tc>
          <w:tcPr>
            <w:tcW w:w="1485" w:type="dxa"/>
          </w:tcPr>
          <w:p w14:paraId="6FC75A9E" w14:textId="77777777" w:rsidR="006E6B76" w:rsidRPr="003C24B8" w:rsidRDefault="008352E7" w:rsidP="008352E7">
            <w:pPr>
              <w:spacing w:line="276" w:lineRule="auto"/>
              <w:jc w:val="center"/>
              <w:rPr>
                <w:sz w:val="22"/>
                <w:szCs w:val="22"/>
              </w:rPr>
            </w:pPr>
            <w:r w:rsidRPr="003C24B8">
              <w:rPr>
                <w:sz w:val="22"/>
                <w:szCs w:val="22"/>
              </w:rPr>
              <w:t xml:space="preserve">3.84* </w:t>
            </w:r>
          </w:p>
          <w:p w14:paraId="4DEC6080" w14:textId="77777777" w:rsidR="001C332B" w:rsidRPr="003C24B8" w:rsidRDefault="008352E7" w:rsidP="008352E7">
            <w:pPr>
              <w:spacing w:line="276" w:lineRule="auto"/>
              <w:jc w:val="center"/>
              <w:rPr>
                <w:sz w:val="22"/>
                <w:szCs w:val="22"/>
              </w:rPr>
            </w:pPr>
            <w:r w:rsidRPr="003C24B8">
              <w:rPr>
                <w:sz w:val="22"/>
                <w:szCs w:val="22"/>
              </w:rPr>
              <w:t>(0.82-9.88)</w:t>
            </w:r>
          </w:p>
        </w:tc>
        <w:tc>
          <w:tcPr>
            <w:tcW w:w="1170" w:type="dxa"/>
          </w:tcPr>
          <w:p w14:paraId="003EE725" w14:textId="77777777" w:rsidR="006E6B76" w:rsidRPr="003C24B8" w:rsidRDefault="008352E7" w:rsidP="008352E7">
            <w:pPr>
              <w:spacing w:line="276" w:lineRule="auto"/>
              <w:jc w:val="center"/>
              <w:rPr>
                <w:sz w:val="22"/>
                <w:szCs w:val="22"/>
              </w:rPr>
            </w:pPr>
            <w:r w:rsidRPr="003C24B8">
              <w:rPr>
                <w:sz w:val="22"/>
                <w:szCs w:val="22"/>
              </w:rPr>
              <w:t xml:space="preserve">0* </w:t>
            </w:r>
          </w:p>
          <w:p w14:paraId="0836255A" w14:textId="77777777" w:rsidR="001C332B" w:rsidRPr="003C24B8" w:rsidRDefault="008352E7" w:rsidP="008352E7">
            <w:pPr>
              <w:spacing w:line="276" w:lineRule="auto"/>
              <w:jc w:val="center"/>
              <w:rPr>
                <w:sz w:val="22"/>
                <w:szCs w:val="22"/>
              </w:rPr>
            </w:pPr>
            <w:r w:rsidRPr="003C24B8">
              <w:rPr>
                <w:sz w:val="22"/>
                <w:szCs w:val="22"/>
              </w:rPr>
              <w:t>(0-0.02)</w:t>
            </w:r>
          </w:p>
        </w:tc>
        <w:tc>
          <w:tcPr>
            <w:tcW w:w="855" w:type="dxa"/>
          </w:tcPr>
          <w:p w14:paraId="204395EF" w14:textId="77777777" w:rsidR="001C332B" w:rsidRPr="003C24B8" w:rsidRDefault="008352E7" w:rsidP="008352E7">
            <w:pPr>
              <w:spacing w:line="276" w:lineRule="auto"/>
              <w:jc w:val="center"/>
              <w:rPr>
                <w:sz w:val="22"/>
                <w:szCs w:val="22"/>
              </w:rPr>
            </w:pPr>
            <w:r w:rsidRPr="003C24B8">
              <w:rPr>
                <w:sz w:val="22"/>
                <w:szCs w:val="22"/>
              </w:rPr>
              <w:t>0.890</w:t>
            </w:r>
          </w:p>
        </w:tc>
        <w:tc>
          <w:tcPr>
            <w:tcW w:w="1005" w:type="dxa"/>
          </w:tcPr>
          <w:p w14:paraId="5BDBC86E" w14:textId="77777777" w:rsidR="001C332B" w:rsidRPr="003C24B8" w:rsidRDefault="008352E7" w:rsidP="008352E7">
            <w:pPr>
              <w:spacing w:line="276" w:lineRule="auto"/>
              <w:jc w:val="center"/>
              <w:rPr>
                <w:sz w:val="22"/>
                <w:szCs w:val="22"/>
              </w:rPr>
            </w:pPr>
            <w:r w:rsidRPr="003C24B8">
              <w:rPr>
                <w:sz w:val="22"/>
                <w:szCs w:val="22"/>
              </w:rPr>
              <w:t>&lt;0.001</w:t>
            </w:r>
          </w:p>
        </w:tc>
      </w:tr>
      <w:tr w:rsidR="001C332B" w:rsidRPr="003C24B8" w14:paraId="4000D553" w14:textId="77777777" w:rsidTr="006E6B76">
        <w:trPr>
          <w:trHeight w:val="320"/>
        </w:trPr>
        <w:tc>
          <w:tcPr>
            <w:tcW w:w="1455" w:type="dxa"/>
          </w:tcPr>
          <w:p w14:paraId="6CFDBCC2" w14:textId="77777777" w:rsidR="001C332B" w:rsidRPr="003C24B8" w:rsidRDefault="008352E7" w:rsidP="008352E7">
            <w:pPr>
              <w:spacing w:line="276" w:lineRule="auto"/>
              <w:jc w:val="center"/>
              <w:rPr>
                <w:b/>
                <w:sz w:val="20"/>
                <w:szCs w:val="22"/>
              </w:rPr>
            </w:pPr>
            <w:r w:rsidRPr="003C24B8">
              <w:rPr>
                <w:b/>
                <w:sz w:val="20"/>
                <w:szCs w:val="22"/>
              </w:rPr>
              <w:t>Grass pollen</w:t>
            </w:r>
          </w:p>
        </w:tc>
        <w:tc>
          <w:tcPr>
            <w:tcW w:w="1080" w:type="dxa"/>
            <w:shd w:val="clear" w:color="auto" w:fill="E7E6E6"/>
          </w:tcPr>
          <w:p w14:paraId="5D3F607A" w14:textId="77777777" w:rsidR="001C332B" w:rsidRPr="003C24B8" w:rsidRDefault="008352E7" w:rsidP="008352E7">
            <w:pPr>
              <w:spacing w:line="276" w:lineRule="auto"/>
              <w:jc w:val="center"/>
              <w:rPr>
                <w:b/>
                <w:sz w:val="22"/>
                <w:szCs w:val="22"/>
              </w:rPr>
            </w:pPr>
            <w:proofErr w:type="spellStart"/>
            <w:r w:rsidRPr="003C24B8">
              <w:rPr>
                <w:b/>
                <w:sz w:val="22"/>
                <w:szCs w:val="22"/>
              </w:rPr>
              <w:t>Phl</w:t>
            </w:r>
            <w:proofErr w:type="spellEnd"/>
            <w:r w:rsidRPr="003C24B8">
              <w:rPr>
                <w:b/>
                <w:sz w:val="22"/>
                <w:szCs w:val="22"/>
              </w:rPr>
              <w:t xml:space="preserve"> p 1</w:t>
            </w:r>
          </w:p>
        </w:tc>
        <w:tc>
          <w:tcPr>
            <w:tcW w:w="1571" w:type="dxa"/>
          </w:tcPr>
          <w:p w14:paraId="636507DA" w14:textId="77777777" w:rsidR="006E6B76" w:rsidRPr="003C24B8" w:rsidRDefault="008352E7" w:rsidP="008352E7">
            <w:pPr>
              <w:spacing w:line="276" w:lineRule="auto"/>
              <w:jc w:val="center"/>
              <w:rPr>
                <w:sz w:val="22"/>
                <w:szCs w:val="22"/>
              </w:rPr>
            </w:pPr>
            <w:r w:rsidRPr="003C24B8">
              <w:rPr>
                <w:sz w:val="22"/>
                <w:szCs w:val="22"/>
              </w:rPr>
              <w:t xml:space="preserve">6.72 </w:t>
            </w:r>
          </w:p>
          <w:p w14:paraId="35EB26BD" w14:textId="77777777" w:rsidR="001C332B" w:rsidRPr="003C24B8" w:rsidRDefault="008352E7" w:rsidP="008352E7">
            <w:pPr>
              <w:spacing w:line="276" w:lineRule="auto"/>
              <w:jc w:val="center"/>
              <w:rPr>
                <w:sz w:val="22"/>
                <w:szCs w:val="22"/>
              </w:rPr>
            </w:pPr>
            <w:r w:rsidRPr="003C24B8">
              <w:rPr>
                <w:sz w:val="22"/>
                <w:szCs w:val="22"/>
              </w:rPr>
              <w:t>(4.35-23.2)</w:t>
            </w:r>
          </w:p>
        </w:tc>
        <w:tc>
          <w:tcPr>
            <w:tcW w:w="1324" w:type="dxa"/>
          </w:tcPr>
          <w:p w14:paraId="1939F3C2" w14:textId="77777777" w:rsidR="006E6B76" w:rsidRPr="003C24B8" w:rsidRDefault="008352E7" w:rsidP="008352E7">
            <w:pPr>
              <w:spacing w:line="276" w:lineRule="auto"/>
              <w:jc w:val="center"/>
              <w:rPr>
                <w:sz w:val="22"/>
                <w:szCs w:val="22"/>
              </w:rPr>
            </w:pPr>
            <w:r w:rsidRPr="003C24B8">
              <w:rPr>
                <w:sz w:val="22"/>
                <w:szCs w:val="22"/>
              </w:rPr>
              <w:t xml:space="preserve">0 </w:t>
            </w:r>
          </w:p>
          <w:p w14:paraId="5F491DCF" w14:textId="77777777" w:rsidR="001C332B" w:rsidRPr="003C24B8" w:rsidRDefault="008352E7" w:rsidP="008352E7">
            <w:pPr>
              <w:spacing w:line="276" w:lineRule="auto"/>
              <w:jc w:val="center"/>
              <w:rPr>
                <w:sz w:val="22"/>
                <w:szCs w:val="22"/>
              </w:rPr>
            </w:pPr>
            <w:r w:rsidRPr="003C24B8">
              <w:rPr>
                <w:sz w:val="22"/>
                <w:szCs w:val="22"/>
              </w:rPr>
              <w:t>(0-0.06)</w:t>
            </w:r>
          </w:p>
        </w:tc>
        <w:tc>
          <w:tcPr>
            <w:tcW w:w="1485" w:type="dxa"/>
          </w:tcPr>
          <w:p w14:paraId="13098138" w14:textId="77777777" w:rsidR="006E6B76" w:rsidRPr="003C24B8" w:rsidRDefault="008352E7" w:rsidP="008352E7">
            <w:pPr>
              <w:spacing w:line="276" w:lineRule="auto"/>
              <w:jc w:val="center"/>
              <w:rPr>
                <w:sz w:val="22"/>
                <w:szCs w:val="22"/>
              </w:rPr>
            </w:pPr>
            <w:r w:rsidRPr="003C24B8">
              <w:rPr>
                <w:sz w:val="22"/>
                <w:szCs w:val="22"/>
              </w:rPr>
              <w:t xml:space="preserve">4.01* </w:t>
            </w:r>
          </w:p>
          <w:p w14:paraId="6EAEEDD9" w14:textId="77777777" w:rsidR="001C332B" w:rsidRPr="003C24B8" w:rsidRDefault="008352E7" w:rsidP="008352E7">
            <w:pPr>
              <w:spacing w:line="276" w:lineRule="auto"/>
              <w:jc w:val="center"/>
              <w:rPr>
                <w:sz w:val="22"/>
                <w:szCs w:val="22"/>
              </w:rPr>
            </w:pPr>
            <w:r w:rsidRPr="003C24B8">
              <w:rPr>
                <w:sz w:val="22"/>
                <w:szCs w:val="22"/>
              </w:rPr>
              <w:t>(2.03-9.55)</w:t>
            </w:r>
          </w:p>
        </w:tc>
        <w:tc>
          <w:tcPr>
            <w:tcW w:w="1170" w:type="dxa"/>
          </w:tcPr>
          <w:p w14:paraId="47E799FD" w14:textId="77777777" w:rsidR="006E6B76" w:rsidRPr="003C24B8" w:rsidRDefault="008352E7" w:rsidP="008352E7">
            <w:pPr>
              <w:spacing w:line="276" w:lineRule="auto"/>
              <w:jc w:val="center"/>
              <w:rPr>
                <w:sz w:val="22"/>
                <w:szCs w:val="22"/>
              </w:rPr>
            </w:pPr>
            <w:r w:rsidRPr="003C24B8">
              <w:rPr>
                <w:sz w:val="22"/>
                <w:szCs w:val="22"/>
              </w:rPr>
              <w:t xml:space="preserve">0 </w:t>
            </w:r>
          </w:p>
          <w:p w14:paraId="1B0B5801" w14:textId="77777777" w:rsidR="001C332B" w:rsidRPr="003C24B8" w:rsidRDefault="008352E7" w:rsidP="008352E7">
            <w:pPr>
              <w:spacing w:line="276" w:lineRule="auto"/>
              <w:jc w:val="center"/>
              <w:rPr>
                <w:sz w:val="22"/>
                <w:szCs w:val="22"/>
              </w:rPr>
            </w:pPr>
            <w:r w:rsidRPr="003C24B8">
              <w:rPr>
                <w:sz w:val="22"/>
                <w:szCs w:val="22"/>
              </w:rPr>
              <w:t>(0-0)</w:t>
            </w:r>
          </w:p>
        </w:tc>
        <w:tc>
          <w:tcPr>
            <w:tcW w:w="855" w:type="dxa"/>
          </w:tcPr>
          <w:p w14:paraId="1D3BD0B8" w14:textId="77777777" w:rsidR="001C332B" w:rsidRPr="003C24B8" w:rsidRDefault="008352E7" w:rsidP="008352E7">
            <w:pPr>
              <w:spacing w:line="276" w:lineRule="auto"/>
              <w:jc w:val="center"/>
              <w:rPr>
                <w:sz w:val="22"/>
                <w:szCs w:val="22"/>
              </w:rPr>
            </w:pPr>
            <w:r w:rsidRPr="003C24B8">
              <w:rPr>
                <w:sz w:val="22"/>
                <w:szCs w:val="22"/>
              </w:rPr>
              <w:t>0.915</w:t>
            </w:r>
          </w:p>
        </w:tc>
        <w:tc>
          <w:tcPr>
            <w:tcW w:w="1005" w:type="dxa"/>
          </w:tcPr>
          <w:p w14:paraId="1AC2D8B8" w14:textId="77777777" w:rsidR="001C332B" w:rsidRPr="003C24B8" w:rsidRDefault="008352E7" w:rsidP="008352E7">
            <w:pPr>
              <w:spacing w:line="276" w:lineRule="auto"/>
              <w:jc w:val="center"/>
              <w:rPr>
                <w:sz w:val="22"/>
                <w:szCs w:val="22"/>
              </w:rPr>
            </w:pPr>
            <w:r w:rsidRPr="003C24B8">
              <w:rPr>
                <w:sz w:val="22"/>
                <w:szCs w:val="22"/>
              </w:rPr>
              <w:t>&lt;0.001</w:t>
            </w:r>
          </w:p>
        </w:tc>
      </w:tr>
      <w:tr w:rsidR="001C332B" w:rsidRPr="003C24B8" w14:paraId="1710DAE4" w14:textId="77777777" w:rsidTr="006E6B76">
        <w:trPr>
          <w:trHeight w:val="320"/>
        </w:trPr>
        <w:tc>
          <w:tcPr>
            <w:tcW w:w="1455" w:type="dxa"/>
          </w:tcPr>
          <w:p w14:paraId="7B0499C1" w14:textId="77777777" w:rsidR="001C332B" w:rsidRPr="003C24B8" w:rsidRDefault="008352E7" w:rsidP="008352E7">
            <w:pPr>
              <w:spacing w:line="276" w:lineRule="auto"/>
              <w:jc w:val="center"/>
              <w:rPr>
                <w:b/>
                <w:sz w:val="20"/>
                <w:szCs w:val="22"/>
              </w:rPr>
            </w:pPr>
            <w:r w:rsidRPr="003C24B8">
              <w:rPr>
                <w:b/>
                <w:sz w:val="20"/>
                <w:szCs w:val="22"/>
              </w:rPr>
              <w:t>Olive pollen</w:t>
            </w:r>
          </w:p>
        </w:tc>
        <w:tc>
          <w:tcPr>
            <w:tcW w:w="1080" w:type="dxa"/>
            <w:shd w:val="clear" w:color="auto" w:fill="E7E6E6"/>
          </w:tcPr>
          <w:p w14:paraId="7A8B81B0" w14:textId="77777777" w:rsidR="001C332B" w:rsidRPr="003C24B8" w:rsidRDefault="008352E7" w:rsidP="008352E7">
            <w:pPr>
              <w:spacing w:line="276" w:lineRule="auto"/>
              <w:jc w:val="center"/>
              <w:rPr>
                <w:b/>
                <w:sz w:val="22"/>
                <w:szCs w:val="22"/>
              </w:rPr>
            </w:pPr>
            <w:r w:rsidRPr="003C24B8">
              <w:rPr>
                <w:b/>
                <w:sz w:val="22"/>
                <w:szCs w:val="22"/>
              </w:rPr>
              <w:t>Ole e 1</w:t>
            </w:r>
          </w:p>
        </w:tc>
        <w:tc>
          <w:tcPr>
            <w:tcW w:w="1571" w:type="dxa"/>
          </w:tcPr>
          <w:p w14:paraId="54FB3173" w14:textId="77777777" w:rsidR="006E6B76" w:rsidRPr="003C24B8" w:rsidRDefault="008352E7" w:rsidP="008352E7">
            <w:pPr>
              <w:spacing w:line="276" w:lineRule="auto"/>
              <w:jc w:val="center"/>
              <w:rPr>
                <w:sz w:val="22"/>
                <w:szCs w:val="22"/>
              </w:rPr>
            </w:pPr>
            <w:r w:rsidRPr="003C24B8">
              <w:rPr>
                <w:sz w:val="22"/>
                <w:szCs w:val="22"/>
              </w:rPr>
              <w:t xml:space="preserve">0.76 </w:t>
            </w:r>
          </w:p>
          <w:p w14:paraId="43A4F400" w14:textId="77777777" w:rsidR="001C332B" w:rsidRPr="003C24B8" w:rsidRDefault="008352E7" w:rsidP="008352E7">
            <w:pPr>
              <w:spacing w:line="276" w:lineRule="auto"/>
              <w:jc w:val="center"/>
              <w:rPr>
                <w:sz w:val="22"/>
                <w:szCs w:val="22"/>
              </w:rPr>
            </w:pPr>
            <w:r w:rsidRPr="003C24B8">
              <w:rPr>
                <w:sz w:val="22"/>
                <w:szCs w:val="22"/>
              </w:rPr>
              <w:t>(0-5.47)</w:t>
            </w:r>
          </w:p>
        </w:tc>
        <w:tc>
          <w:tcPr>
            <w:tcW w:w="1324" w:type="dxa"/>
          </w:tcPr>
          <w:p w14:paraId="2A317B11" w14:textId="77777777" w:rsidR="006E6B76" w:rsidRPr="003C24B8" w:rsidRDefault="008352E7" w:rsidP="008352E7">
            <w:pPr>
              <w:spacing w:line="276" w:lineRule="auto"/>
              <w:jc w:val="center"/>
              <w:rPr>
                <w:sz w:val="22"/>
                <w:szCs w:val="22"/>
              </w:rPr>
            </w:pPr>
            <w:r w:rsidRPr="003C24B8">
              <w:rPr>
                <w:sz w:val="22"/>
                <w:szCs w:val="22"/>
              </w:rPr>
              <w:t xml:space="preserve">0 </w:t>
            </w:r>
          </w:p>
          <w:p w14:paraId="474B1790" w14:textId="77777777" w:rsidR="001C332B" w:rsidRPr="003C24B8" w:rsidRDefault="008352E7" w:rsidP="008352E7">
            <w:pPr>
              <w:spacing w:line="276" w:lineRule="auto"/>
              <w:jc w:val="center"/>
              <w:rPr>
                <w:sz w:val="22"/>
                <w:szCs w:val="22"/>
              </w:rPr>
            </w:pPr>
            <w:r w:rsidRPr="003C24B8">
              <w:rPr>
                <w:sz w:val="22"/>
                <w:szCs w:val="22"/>
              </w:rPr>
              <w:t>(0-0)</w:t>
            </w:r>
          </w:p>
        </w:tc>
        <w:tc>
          <w:tcPr>
            <w:tcW w:w="1485" w:type="dxa"/>
          </w:tcPr>
          <w:p w14:paraId="26D3C7BB" w14:textId="77777777" w:rsidR="001C332B" w:rsidRPr="003C24B8" w:rsidRDefault="008352E7" w:rsidP="008352E7">
            <w:pPr>
              <w:spacing w:line="276" w:lineRule="auto"/>
              <w:jc w:val="center"/>
              <w:rPr>
                <w:sz w:val="22"/>
                <w:szCs w:val="22"/>
              </w:rPr>
            </w:pPr>
            <w:r w:rsidRPr="003C24B8">
              <w:rPr>
                <w:sz w:val="22"/>
                <w:szCs w:val="22"/>
              </w:rPr>
              <w:t>0.67** (0.08-7.74)</w:t>
            </w:r>
          </w:p>
        </w:tc>
        <w:tc>
          <w:tcPr>
            <w:tcW w:w="1170" w:type="dxa"/>
          </w:tcPr>
          <w:p w14:paraId="25A2114D" w14:textId="77777777" w:rsidR="006E6B76" w:rsidRPr="003C24B8" w:rsidRDefault="008352E7" w:rsidP="008352E7">
            <w:pPr>
              <w:spacing w:line="276" w:lineRule="auto"/>
              <w:jc w:val="center"/>
              <w:rPr>
                <w:sz w:val="22"/>
                <w:szCs w:val="22"/>
              </w:rPr>
            </w:pPr>
            <w:r w:rsidRPr="003C24B8">
              <w:rPr>
                <w:sz w:val="22"/>
                <w:szCs w:val="22"/>
              </w:rPr>
              <w:t xml:space="preserve">0** </w:t>
            </w:r>
          </w:p>
          <w:p w14:paraId="557E6B92" w14:textId="77777777" w:rsidR="001C332B" w:rsidRPr="003C24B8" w:rsidRDefault="008352E7" w:rsidP="008352E7">
            <w:pPr>
              <w:spacing w:line="276" w:lineRule="auto"/>
              <w:jc w:val="center"/>
              <w:rPr>
                <w:sz w:val="22"/>
                <w:szCs w:val="22"/>
              </w:rPr>
            </w:pPr>
            <w:r w:rsidRPr="003C24B8">
              <w:rPr>
                <w:sz w:val="22"/>
                <w:szCs w:val="22"/>
              </w:rPr>
              <w:t>(0-0.03)</w:t>
            </w:r>
          </w:p>
        </w:tc>
        <w:tc>
          <w:tcPr>
            <w:tcW w:w="855" w:type="dxa"/>
          </w:tcPr>
          <w:p w14:paraId="6DF1AD82" w14:textId="77777777" w:rsidR="001C332B" w:rsidRPr="003C24B8" w:rsidRDefault="008352E7" w:rsidP="008352E7">
            <w:pPr>
              <w:spacing w:line="276" w:lineRule="auto"/>
              <w:jc w:val="center"/>
              <w:rPr>
                <w:sz w:val="22"/>
                <w:szCs w:val="22"/>
              </w:rPr>
            </w:pPr>
            <w:r w:rsidRPr="003C24B8">
              <w:rPr>
                <w:sz w:val="22"/>
                <w:szCs w:val="22"/>
              </w:rPr>
              <w:t>0.895</w:t>
            </w:r>
          </w:p>
        </w:tc>
        <w:tc>
          <w:tcPr>
            <w:tcW w:w="1005" w:type="dxa"/>
          </w:tcPr>
          <w:p w14:paraId="6B9A3C86" w14:textId="77777777" w:rsidR="001C332B" w:rsidRPr="003C24B8" w:rsidRDefault="008352E7" w:rsidP="008352E7">
            <w:pPr>
              <w:spacing w:line="276" w:lineRule="auto"/>
              <w:jc w:val="center"/>
              <w:rPr>
                <w:sz w:val="22"/>
                <w:szCs w:val="22"/>
              </w:rPr>
            </w:pPr>
            <w:r w:rsidRPr="003C24B8">
              <w:rPr>
                <w:sz w:val="22"/>
                <w:szCs w:val="22"/>
              </w:rPr>
              <w:t>&lt;0.001</w:t>
            </w:r>
          </w:p>
        </w:tc>
      </w:tr>
      <w:tr w:rsidR="001C332B" w:rsidRPr="003C24B8" w14:paraId="5E12FFCB" w14:textId="77777777" w:rsidTr="006E6B76">
        <w:trPr>
          <w:trHeight w:val="340"/>
        </w:trPr>
        <w:tc>
          <w:tcPr>
            <w:tcW w:w="1455" w:type="dxa"/>
            <w:vMerge w:val="restart"/>
          </w:tcPr>
          <w:p w14:paraId="7CAA1A31" w14:textId="77777777" w:rsidR="001C332B" w:rsidRPr="003C24B8" w:rsidRDefault="008352E7" w:rsidP="008352E7">
            <w:pPr>
              <w:spacing w:line="276" w:lineRule="auto"/>
              <w:jc w:val="center"/>
              <w:rPr>
                <w:b/>
                <w:i/>
                <w:sz w:val="20"/>
                <w:szCs w:val="22"/>
              </w:rPr>
            </w:pPr>
            <w:r w:rsidRPr="003C24B8">
              <w:rPr>
                <w:b/>
                <w:i/>
                <w:sz w:val="20"/>
                <w:szCs w:val="22"/>
              </w:rPr>
              <w:t>D.</w:t>
            </w:r>
          </w:p>
          <w:p w14:paraId="24BBC0F0" w14:textId="77777777" w:rsidR="001C332B" w:rsidRPr="003C24B8" w:rsidRDefault="008352E7" w:rsidP="008352E7">
            <w:pPr>
              <w:spacing w:line="276" w:lineRule="auto"/>
              <w:jc w:val="center"/>
              <w:rPr>
                <w:b/>
                <w:i/>
                <w:sz w:val="20"/>
                <w:szCs w:val="22"/>
              </w:rPr>
            </w:pPr>
            <w:r w:rsidRPr="003C24B8">
              <w:rPr>
                <w:b/>
                <w:i/>
                <w:sz w:val="20"/>
                <w:szCs w:val="22"/>
              </w:rPr>
              <w:t>pteronyssinus</w:t>
            </w:r>
          </w:p>
        </w:tc>
        <w:tc>
          <w:tcPr>
            <w:tcW w:w="1080" w:type="dxa"/>
            <w:shd w:val="clear" w:color="auto" w:fill="E7E6E6"/>
          </w:tcPr>
          <w:p w14:paraId="51E589D5" w14:textId="77777777" w:rsidR="001C332B" w:rsidRPr="003C24B8" w:rsidRDefault="008352E7" w:rsidP="008352E7">
            <w:pPr>
              <w:spacing w:line="276" w:lineRule="auto"/>
              <w:jc w:val="center"/>
              <w:rPr>
                <w:b/>
                <w:sz w:val="22"/>
                <w:szCs w:val="22"/>
              </w:rPr>
            </w:pPr>
            <w:r w:rsidRPr="003C24B8">
              <w:rPr>
                <w:b/>
                <w:sz w:val="22"/>
                <w:szCs w:val="22"/>
              </w:rPr>
              <w:t>Der p 1</w:t>
            </w:r>
          </w:p>
        </w:tc>
        <w:tc>
          <w:tcPr>
            <w:tcW w:w="1571" w:type="dxa"/>
          </w:tcPr>
          <w:p w14:paraId="6DE597A1" w14:textId="77777777" w:rsidR="006E6B76" w:rsidRPr="003C24B8" w:rsidRDefault="008352E7" w:rsidP="008352E7">
            <w:pPr>
              <w:spacing w:line="276" w:lineRule="auto"/>
              <w:jc w:val="center"/>
              <w:rPr>
                <w:sz w:val="22"/>
                <w:szCs w:val="22"/>
              </w:rPr>
            </w:pPr>
            <w:r w:rsidRPr="003C24B8">
              <w:rPr>
                <w:sz w:val="22"/>
                <w:szCs w:val="22"/>
              </w:rPr>
              <w:t xml:space="preserve">3.3 </w:t>
            </w:r>
          </w:p>
          <w:p w14:paraId="1BF6E0DE" w14:textId="77777777" w:rsidR="001C332B" w:rsidRPr="003C24B8" w:rsidRDefault="008352E7" w:rsidP="008352E7">
            <w:pPr>
              <w:spacing w:line="276" w:lineRule="auto"/>
              <w:jc w:val="center"/>
              <w:rPr>
                <w:sz w:val="22"/>
                <w:szCs w:val="22"/>
              </w:rPr>
            </w:pPr>
            <w:r w:rsidRPr="003C24B8">
              <w:rPr>
                <w:sz w:val="22"/>
                <w:szCs w:val="22"/>
              </w:rPr>
              <w:t>(0-9.45)</w:t>
            </w:r>
          </w:p>
        </w:tc>
        <w:tc>
          <w:tcPr>
            <w:tcW w:w="1324" w:type="dxa"/>
          </w:tcPr>
          <w:p w14:paraId="691D7558" w14:textId="77777777" w:rsidR="006E6B76" w:rsidRPr="003C24B8" w:rsidRDefault="008352E7" w:rsidP="008352E7">
            <w:pPr>
              <w:spacing w:line="276" w:lineRule="auto"/>
              <w:jc w:val="center"/>
              <w:rPr>
                <w:sz w:val="22"/>
                <w:szCs w:val="22"/>
              </w:rPr>
            </w:pPr>
            <w:r w:rsidRPr="003C24B8">
              <w:rPr>
                <w:sz w:val="22"/>
                <w:szCs w:val="22"/>
              </w:rPr>
              <w:t xml:space="preserve">0 </w:t>
            </w:r>
          </w:p>
          <w:p w14:paraId="2A2BA2DD" w14:textId="77777777" w:rsidR="001C332B" w:rsidRPr="003C24B8" w:rsidRDefault="008352E7" w:rsidP="008352E7">
            <w:pPr>
              <w:spacing w:line="276" w:lineRule="auto"/>
              <w:jc w:val="center"/>
              <w:rPr>
                <w:sz w:val="22"/>
                <w:szCs w:val="22"/>
              </w:rPr>
            </w:pPr>
            <w:r w:rsidRPr="003C24B8">
              <w:rPr>
                <w:sz w:val="22"/>
                <w:szCs w:val="22"/>
              </w:rPr>
              <w:t>(0-0)</w:t>
            </w:r>
          </w:p>
        </w:tc>
        <w:tc>
          <w:tcPr>
            <w:tcW w:w="1485" w:type="dxa"/>
          </w:tcPr>
          <w:p w14:paraId="6713AF5B" w14:textId="77777777" w:rsidR="006E6B76" w:rsidRPr="003C24B8" w:rsidRDefault="008352E7" w:rsidP="008352E7">
            <w:pPr>
              <w:spacing w:line="276" w:lineRule="auto"/>
              <w:jc w:val="center"/>
              <w:rPr>
                <w:sz w:val="22"/>
                <w:szCs w:val="22"/>
              </w:rPr>
            </w:pPr>
            <w:r w:rsidRPr="003C24B8">
              <w:rPr>
                <w:sz w:val="22"/>
                <w:szCs w:val="22"/>
              </w:rPr>
              <w:t xml:space="preserve">2.33 </w:t>
            </w:r>
          </w:p>
          <w:p w14:paraId="793B234D" w14:textId="77777777" w:rsidR="001C332B" w:rsidRPr="003C24B8" w:rsidRDefault="008352E7" w:rsidP="008352E7">
            <w:pPr>
              <w:spacing w:line="276" w:lineRule="auto"/>
              <w:jc w:val="center"/>
              <w:rPr>
                <w:sz w:val="22"/>
                <w:szCs w:val="22"/>
              </w:rPr>
            </w:pPr>
            <w:r w:rsidRPr="003C24B8">
              <w:rPr>
                <w:sz w:val="22"/>
                <w:szCs w:val="22"/>
              </w:rPr>
              <w:t>(0.02-10.65)</w:t>
            </w:r>
          </w:p>
        </w:tc>
        <w:tc>
          <w:tcPr>
            <w:tcW w:w="1170" w:type="dxa"/>
          </w:tcPr>
          <w:p w14:paraId="6CC63ABB" w14:textId="77777777" w:rsidR="006E6B76" w:rsidRPr="003C24B8" w:rsidRDefault="008352E7" w:rsidP="008352E7">
            <w:pPr>
              <w:spacing w:line="276" w:lineRule="auto"/>
              <w:jc w:val="center"/>
              <w:rPr>
                <w:sz w:val="22"/>
                <w:szCs w:val="22"/>
              </w:rPr>
            </w:pPr>
            <w:r w:rsidRPr="003C24B8">
              <w:rPr>
                <w:sz w:val="22"/>
                <w:szCs w:val="22"/>
              </w:rPr>
              <w:t xml:space="preserve">0 </w:t>
            </w:r>
          </w:p>
          <w:p w14:paraId="0BC7F838" w14:textId="77777777" w:rsidR="001C332B" w:rsidRPr="003C24B8" w:rsidRDefault="008352E7" w:rsidP="008352E7">
            <w:pPr>
              <w:spacing w:line="276" w:lineRule="auto"/>
              <w:jc w:val="center"/>
              <w:rPr>
                <w:sz w:val="22"/>
                <w:szCs w:val="22"/>
              </w:rPr>
            </w:pPr>
            <w:r w:rsidRPr="003C24B8">
              <w:rPr>
                <w:sz w:val="22"/>
                <w:szCs w:val="22"/>
              </w:rPr>
              <w:t>(0-0)</w:t>
            </w:r>
          </w:p>
        </w:tc>
        <w:tc>
          <w:tcPr>
            <w:tcW w:w="855" w:type="dxa"/>
          </w:tcPr>
          <w:p w14:paraId="118A3F8F" w14:textId="77777777" w:rsidR="001C332B" w:rsidRPr="003C24B8" w:rsidRDefault="008352E7" w:rsidP="008352E7">
            <w:pPr>
              <w:spacing w:line="276" w:lineRule="auto"/>
              <w:jc w:val="center"/>
              <w:rPr>
                <w:sz w:val="22"/>
                <w:szCs w:val="22"/>
              </w:rPr>
            </w:pPr>
            <w:r w:rsidRPr="003C24B8">
              <w:rPr>
                <w:sz w:val="22"/>
                <w:szCs w:val="22"/>
              </w:rPr>
              <w:t>0.856</w:t>
            </w:r>
          </w:p>
        </w:tc>
        <w:tc>
          <w:tcPr>
            <w:tcW w:w="1005" w:type="dxa"/>
          </w:tcPr>
          <w:p w14:paraId="7FB501CD" w14:textId="77777777" w:rsidR="001C332B" w:rsidRPr="003C24B8" w:rsidRDefault="008352E7" w:rsidP="008352E7">
            <w:pPr>
              <w:spacing w:line="276" w:lineRule="auto"/>
              <w:jc w:val="center"/>
              <w:rPr>
                <w:sz w:val="22"/>
                <w:szCs w:val="22"/>
              </w:rPr>
            </w:pPr>
            <w:r w:rsidRPr="003C24B8">
              <w:rPr>
                <w:sz w:val="22"/>
                <w:szCs w:val="22"/>
              </w:rPr>
              <w:t>&lt;0.001</w:t>
            </w:r>
          </w:p>
        </w:tc>
      </w:tr>
      <w:tr w:rsidR="001C332B" w:rsidRPr="003C24B8" w14:paraId="6E0CE1D7" w14:textId="77777777" w:rsidTr="006E6B76">
        <w:trPr>
          <w:trHeight w:val="320"/>
        </w:trPr>
        <w:tc>
          <w:tcPr>
            <w:tcW w:w="1455" w:type="dxa"/>
            <w:vMerge/>
          </w:tcPr>
          <w:p w14:paraId="19EC055C" w14:textId="77777777" w:rsidR="001C332B" w:rsidRPr="003C24B8" w:rsidRDefault="001C332B" w:rsidP="008352E7">
            <w:pPr>
              <w:widowControl w:val="0"/>
              <w:spacing w:line="276" w:lineRule="auto"/>
              <w:rPr>
                <w:sz w:val="20"/>
                <w:szCs w:val="22"/>
              </w:rPr>
            </w:pPr>
          </w:p>
        </w:tc>
        <w:tc>
          <w:tcPr>
            <w:tcW w:w="1080" w:type="dxa"/>
            <w:shd w:val="clear" w:color="auto" w:fill="E7E6E6"/>
          </w:tcPr>
          <w:p w14:paraId="0E966282" w14:textId="77777777" w:rsidR="001C332B" w:rsidRPr="003C24B8" w:rsidRDefault="008352E7" w:rsidP="008352E7">
            <w:pPr>
              <w:spacing w:line="276" w:lineRule="auto"/>
              <w:jc w:val="center"/>
              <w:rPr>
                <w:b/>
                <w:sz w:val="22"/>
                <w:szCs w:val="22"/>
              </w:rPr>
            </w:pPr>
            <w:r w:rsidRPr="003C24B8">
              <w:rPr>
                <w:b/>
                <w:sz w:val="22"/>
                <w:szCs w:val="22"/>
              </w:rPr>
              <w:t>Der p 2</w:t>
            </w:r>
          </w:p>
        </w:tc>
        <w:tc>
          <w:tcPr>
            <w:tcW w:w="1571" w:type="dxa"/>
          </w:tcPr>
          <w:p w14:paraId="3A4DBEAA" w14:textId="77777777" w:rsidR="006E6B76" w:rsidRPr="003C24B8" w:rsidRDefault="008352E7" w:rsidP="008352E7">
            <w:pPr>
              <w:spacing w:line="276" w:lineRule="auto"/>
              <w:jc w:val="center"/>
              <w:rPr>
                <w:sz w:val="22"/>
                <w:szCs w:val="22"/>
              </w:rPr>
            </w:pPr>
            <w:r w:rsidRPr="003C24B8">
              <w:rPr>
                <w:sz w:val="22"/>
                <w:szCs w:val="22"/>
              </w:rPr>
              <w:t xml:space="preserve">21.25 </w:t>
            </w:r>
          </w:p>
          <w:p w14:paraId="53984464" w14:textId="77777777" w:rsidR="001C332B" w:rsidRPr="003C24B8" w:rsidRDefault="008352E7" w:rsidP="008352E7">
            <w:pPr>
              <w:spacing w:line="276" w:lineRule="auto"/>
              <w:jc w:val="center"/>
              <w:rPr>
                <w:sz w:val="22"/>
                <w:szCs w:val="22"/>
              </w:rPr>
            </w:pPr>
            <w:r w:rsidRPr="003C24B8">
              <w:rPr>
                <w:sz w:val="22"/>
                <w:szCs w:val="22"/>
              </w:rPr>
              <w:t>(0.15-33.43)</w:t>
            </w:r>
          </w:p>
        </w:tc>
        <w:tc>
          <w:tcPr>
            <w:tcW w:w="1324" w:type="dxa"/>
          </w:tcPr>
          <w:p w14:paraId="138498DB" w14:textId="77777777" w:rsidR="006E6B76" w:rsidRPr="003C24B8" w:rsidRDefault="008352E7" w:rsidP="008352E7">
            <w:pPr>
              <w:spacing w:line="276" w:lineRule="auto"/>
              <w:jc w:val="center"/>
              <w:rPr>
                <w:sz w:val="22"/>
                <w:szCs w:val="22"/>
              </w:rPr>
            </w:pPr>
            <w:r w:rsidRPr="003C24B8">
              <w:rPr>
                <w:sz w:val="22"/>
                <w:szCs w:val="22"/>
              </w:rPr>
              <w:t xml:space="preserve">0.03 </w:t>
            </w:r>
          </w:p>
          <w:p w14:paraId="60E8CBF2" w14:textId="77777777" w:rsidR="001C332B" w:rsidRPr="003C24B8" w:rsidRDefault="008352E7" w:rsidP="008352E7">
            <w:pPr>
              <w:spacing w:line="276" w:lineRule="auto"/>
              <w:jc w:val="center"/>
              <w:rPr>
                <w:sz w:val="22"/>
                <w:szCs w:val="22"/>
              </w:rPr>
            </w:pPr>
            <w:r w:rsidRPr="003C24B8">
              <w:rPr>
                <w:sz w:val="22"/>
                <w:szCs w:val="22"/>
              </w:rPr>
              <w:t>(0-0.08)</w:t>
            </w:r>
          </w:p>
        </w:tc>
        <w:tc>
          <w:tcPr>
            <w:tcW w:w="1485" w:type="dxa"/>
          </w:tcPr>
          <w:p w14:paraId="5DE4DA34" w14:textId="77777777" w:rsidR="006E6B76" w:rsidRPr="003C24B8" w:rsidRDefault="008352E7" w:rsidP="008352E7">
            <w:pPr>
              <w:spacing w:line="276" w:lineRule="auto"/>
              <w:jc w:val="center"/>
              <w:rPr>
                <w:sz w:val="22"/>
                <w:szCs w:val="22"/>
              </w:rPr>
            </w:pPr>
            <w:r w:rsidRPr="003C24B8">
              <w:rPr>
                <w:sz w:val="22"/>
                <w:szCs w:val="22"/>
              </w:rPr>
              <w:t xml:space="preserve">7.19* </w:t>
            </w:r>
          </w:p>
          <w:p w14:paraId="2F93EE2F" w14:textId="77777777" w:rsidR="001C332B" w:rsidRPr="003C24B8" w:rsidRDefault="008352E7" w:rsidP="008352E7">
            <w:pPr>
              <w:spacing w:line="276" w:lineRule="auto"/>
              <w:jc w:val="center"/>
              <w:rPr>
                <w:sz w:val="22"/>
                <w:szCs w:val="22"/>
              </w:rPr>
            </w:pPr>
            <w:r w:rsidRPr="003C24B8">
              <w:rPr>
                <w:sz w:val="22"/>
                <w:szCs w:val="22"/>
              </w:rPr>
              <w:t>(0.04-18.5)</w:t>
            </w:r>
          </w:p>
        </w:tc>
        <w:tc>
          <w:tcPr>
            <w:tcW w:w="1170" w:type="dxa"/>
          </w:tcPr>
          <w:p w14:paraId="59254D20" w14:textId="77777777" w:rsidR="006E6B76" w:rsidRPr="003C24B8" w:rsidRDefault="008352E7" w:rsidP="008352E7">
            <w:pPr>
              <w:spacing w:line="276" w:lineRule="auto"/>
              <w:jc w:val="center"/>
              <w:rPr>
                <w:sz w:val="22"/>
                <w:szCs w:val="22"/>
              </w:rPr>
            </w:pPr>
            <w:r w:rsidRPr="003C24B8">
              <w:rPr>
                <w:sz w:val="22"/>
                <w:szCs w:val="22"/>
              </w:rPr>
              <w:t xml:space="preserve">0* </w:t>
            </w:r>
          </w:p>
          <w:p w14:paraId="070CAC7B" w14:textId="77777777" w:rsidR="001C332B" w:rsidRPr="003C24B8" w:rsidRDefault="008352E7" w:rsidP="008352E7">
            <w:pPr>
              <w:spacing w:line="276" w:lineRule="auto"/>
              <w:jc w:val="center"/>
              <w:rPr>
                <w:sz w:val="22"/>
                <w:szCs w:val="22"/>
              </w:rPr>
            </w:pPr>
            <w:r w:rsidRPr="003C24B8">
              <w:rPr>
                <w:sz w:val="22"/>
                <w:szCs w:val="22"/>
              </w:rPr>
              <w:t>(0-0)</w:t>
            </w:r>
          </w:p>
        </w:tc>
        <w:tc>
          <w:tcPr>
            <w:tcW w:w="855" w:type="dxa"/>
          </w:tcPr>
          <w:p w14:paraId="0C4194B9" w14:textId="77777777" w:rsidR="001C332B" w:rsidRPr="003C24B8" w:rsidRDefault="008352E7" w:rsidP="008352E7">
            <w:pPr>
              <w:spacing w:line="276" w:lineRule="auto"/>
              <w:jc w:val="center"/>
              <w:rPr>
                <w:sz w:val="22"/>
                <w:szCs w:val="22"/>
              </w:rPr>
            </w:pPr>
            <w:r w:rsidRPr="003C24B8">
              <w:rPr>
                <w:sz w:val="22"/>
                <w:szCs w:val="22"/>
              </w:rPr>
              <w:t>0.853</w:t>
            </w:r>
          </w:p>
        </w:tc>
        <w:tc>
          <w:tcPr>
            <w:tcW w:w="1005" w:type="dxa"/>
          </w:tcPr>
          <w:p w14:paraId="4AF32CDC" w14:textId="77777777" w:rsidR="001C332B" w:rsidRPr="003C24B8" w:rsidRDefault="008352E7" w:rsidP="008352E7">
            <w:pPr>
              <w:spacing w:line="276" w:lineRule="auto"/>
              <w:jc w:val="center"/>
              <w:rPr>
                <w:sz w:val="22"/>
                <w:szCs w:val="22"/>
              </w:rPr>
            </w:pPr>
            <w:r w:rsidRPr="003C24B8">
              <w:rPr>
                <w:sz w:val="22"/>
                <w:szCs w:val="22"/>
              </w:rPr>
              <w:t>&lt;0.001</w:t>
            </w:r>
          </w:p>
        </w:tc>
      </w:tr>
      <w:tr w:rsidR="001C332B" w:rsidRPr="003C24B8" w14:paraId="789BA104" w14:textId="77777777" w:rsidTr="006E6B76">
        <w:trPr>
          <w:trHeight w:val="340"/>
        </w:trPr>
        <w:tc>
          <w:tcPr>
            <w:tcW w:w="1455" w:type="dxa"/>
            <w:vMerge/>
          </w:tcPr>
          <w:p w14:paraId="7F40E0D9" w14:textId="77777777" w:rsidR="001C332B" w:rsidRPr="003C24B8" w:rsidRDefault="001C332B" w:rsidP="008352E7">
            <w:pPr>
              <w:widowControl w:val="0"/>
              <w:spacing w:line="276" w:lineRule="auto"/>
              <w:rPr>
                <w:sz w:val="20"/>
                <w:szCs w:val="22"/>
              </w:rPr>
            </w:pPr>
          </w:p>
        </w:tc>
        <w:tc>
          <w:tcPr>
            <w:tcW w:w="1080" w:type="dxa"/>
            <w:shd w:val="clear" w:color="auto" w:fill="E7E6E6"/>
          </w:tcPr>
          <w:p w14:paraId="76FEECD3" w14:textId="77777777" w:rsidR="001C332B" w:rsidRPr="003C24B8" w:rsidRDefault="008352E7" w:rsidP="008352E7">
            <w:pPr>
              <w:spacing w:line="276" w:lineRule="auto"/>
              <w:jc w:val="center"/>
              <w:rPr>
                <w:b/>
                <w:sz w:val="22"/>
                <w:szCs w:val="22"/>
              </w:rPr>
            </w:pPr>
            <w:r w:rsidRPr="003C24B8">
              <w:rPr>
                <w:b/>
                <w:sz w:val="22"/>
                <w:szCs w:val="22"/>
              </w:rPr>
              <w:t>Der p 23</w:t>
            </w:r>
          </w:p>
        </w:tc>
        <w:tc>
          <w:tcPr>
            <w:tcW w:w="1571" w:type="dxa"/>
          </w:tcPr>
          <w:p w14:paraId="2CD04E91" w14:textId="77777777" w:rsidR="006E6B76" w:rsidRPr="003C24B8" w:rsidRDefault="008352E7" w:rsidP="008352E7">
            <w:pPr>
              <w:spacing w:line="276" w:lineRule="auto"/>
              <w:jc w:val="center"/>
              <w:rPr>
                <w:sz w:val="22"/>
                <w:szCs w:val="22"/>
              </w:rPr>
            </w:pPr>
            <w:r w:rsidRPr="003C24B8">
              <w:rPr>
                <w:sz w:val="22"/>
                <w:szCs w:val="22"/>
              </w:rPr>
              <w:t xml:space="preserve">5.39 </w:t>
            </w:r>
          </w:p>
          <w:p w14:paraId="4E62EA84" w14:textId="77777777" w:rsidR="001C332B" w:rsidRPr="003C24B8" w:rsidRDefault="008352E7" w:rsidP="008352E7">
            <w:pPr>
              <w:spacing w:line="276" w:lineRule="auto"/>
              <w:jc w:val="center"/>
              <w:rPr>
                <w:sz w:val="22"/>
                <w:szCs w:val="22"/>
              </w:rPr>
            </w:pPr>
            <w:r w:rsidRPr="003C24B8">
              <w:rPr>
                <w:sz w:val="22"/>
                <w:szCs w:val="22"/>
              </w:rPr>
              <w:t>(1.13-10.4)</w:t>
            </w:r>
          </w:p>
        </w:tc>
        <w:tc>
          <w:tcPr>
            <w:tcW w:w="1324" w:type="dxa"/>
          </w:tcPr>
          <w:p w14:paraId="43CB9BA0" w14:textId="77777777" w:rsidR="006E6B76" w:rsidRPr="003C24B8" w:rsidRDefault="008352E7" w:rsidP="008352E7">
            <w:pPr>
              <w:spacing w:line="276" w:lineRule="auto"/>
              <w:jc w:val="center"/>
              <w:rPr>
                <w:sz w:val="22"/>
                <w:szCs w:val="22"/>
              </w:rPr>
            </w:pPr>
            <w:r w:rsidRPr="003C24B8">
              <w:rPr>
                <w:sz w:val="22"/>
                <w:szCs w:val="22"/>
              </w:rPr>
              <w:t xml:space="preserve">0 </w:t>
            </w:r>
          </w:p>
          <w:p w14:paraId="751E2283" w14:textId="77777777" w:rsidR="001C332B" w:rsidRPr="003C24B8" w:rsidRDefault="008352E7" w:rsidP="008352E7">
            <w:pPr>
              <w:spacing w:line="276" w:lineRule="auto"/>
              <w:jc w:val="center"/>
              <w:rPr>
                <w:sz w:val="22"/>
                <w:szCs w:val="22"/>
              </w:rPr>
            </w:pPr>
            <w:r w:rsidRPr="003C24B8">
              <w:rPr>
                <w:sz w:val="22"/>
                <w:szCs w:val="22"/>
              </w:rPr>
              <w:t>(0-0)</w:t>
            </w:r>
          </w:p>
        </w:tc>
        <w:tc>
          <w:tcPr>
            <w:tcW w:w="1485" w:type="dxa"/>
          </w:tcPr>
          <w:p w14:paraId="201EF02E" w14:textId="77777777" w:rsidR="006E6B76" w:rsidRPr="003C24B8" w:rsidRDefault="008352E7" w:rsidP="008352E7">
            <w:pPr>
              <w:spacing w:line="276" w:lineRule="auto"/>
              <w:jc w:val="center"/>
              <w:rPr>
                <w:sz w:val="22"/>
                <w:szCs w:val="22"/>
              </w:rPr>
            </w:pPr>
            <w:r w:rsidRPr="003C24B8">
              <w:rPr>
                <w:sz w:val="22"/>
                <w:szCs w:val="22"/>
              </w:rPr>
              <w:t xml:space="preserve">1.47* </w:t>
            </w:r>
          </w:p>
          <w:p w14:paraId="5DF0E076" w14:textId="77777777" w:rsidR="001C332B" w:rsidRPr="003C24B8" w:rsidRDefault="008352E7" w:rsidP="008352E7">
            <w:pPr>
              <w:spacing w:line="276" w:lineRule="auto"/>
              <w:jc w:val="center"/>
              <w:rPr>
                <w:sz w:val="22"/>
                <w:szCs w:val="22"/>
              </w:rPr>
            </w:pPr>
            <w:r w:rsidRPr="003C24B8">
              <w:rPr>
                <w:sz w:val="22"/>
                <w:szCs w:val="22"/>
              </w:rPr>
              <w:t>(0.17-4.97)</w:t>
            </w:r>
          </w:p>
        </w:tc>
        <w:tc>
          <w:tcPr>
            <w:tcW w:w="1170" w:type="dxa"/>
          </w:tcPr>
          <w:p w14:paraId="7CE00134" w14:textId="77777777" w:rsidR="006E6B76" w:rsidRPr="003C24B8" w:rsidRDefault="008352E7" w:rsidP="008352E7">
            <w:pPr>
              <w:spacing w:line="276" w:lineRule="auto"/>
              <w:jc w:val="center"/>
              <w:rPr>
                <w:sz w:val="22"/>
                <w:szCs w:val="22"/>
              </w:rPr>
            </w:pPr>
            <w:r w:rsidRPr="003C24B8">
              <w:rPr>
                <w:sz w:val="22"/>
                <w:szCs w:val="22"/>
              </w:rPr>
              <w:t xml:space="preserve">0** </w:t>
            </w:r>
          </w:p>
          <w:p w14:paraId="389B2F23" w14:textId="77777777" w:rsidR="001C332B" w:rsidRPr="003C24B8" w:rsidRDefault="008352E7" w:rsidP="008352E7">
            <w:pPr>
              <w:spacing w:line="276" w:lineRule="auto"/>
              <w:jc w:val="center"/>
              <w:rPr>
                <w:sz w:val="22"/>
                <w:szCs w:val="22"/>
              </w:rPr>
            </w:pPr>
            <w:r w:rsidRPr="003C24B8">
              <w:rPr>
                <w:sz w:val="22"/>
                <w:szCs w:val="22"/>
              </w:rPr>
              <w:t>(0-0.02)</w:t>
            </w:r>
          </w:p>
        </w:tc>
        <w:tc>
          <w:tcPr>
            <w:tcW w:w="855" w:type="dxa"/>
          </w:tcPr>
          <w:p w14:paraId="346C264F" w14:textId="77777777" w:rsidR="001C332B" w:rsidRPr="003C24B8" w:rsidRDefault="008352E7" w:rsidP="008352E7">
            <w:pPr>
              <w:spacing w:line="276" w:lineRule="auto"/>
              <w:jc w:val="center"/>
              <w:rPr>
                <w:sz w:val="22"/>
                <w:szCs w:val="22"/>
              </w:rPr>
            </w:pPr>
            <w:r w:rsidRPr="003C24B8">
              <w:rPr>
                <w:sz w:val="22"/>
                <w:szCs w:val="22"/>
              </w:rPr>
              <w:t>0.810</w:t>
            </w:r>
          </w:p>
        </w:tc>
        <w:tc>
          <w:tcPr>
            <w:tcW w:w="1005" w:type="dxa"/>
          </w:tcPr>
          <w:p w14:paraId="34068150" w14:textId="77777777" w:rsidR="001C332B" w:rsidRPr="003C24B8" w:rsidRDefault="008352E7" w:rsidP="008352E7">
            <w:pPr>
              <w:spacing w:line="276" w:lineRule="auto"/>
              <w:jc w:val="center"/>
              <w:rPr>
                <w:sz w:val="22"/>
                <w:szCs w:val="22"/>
              </w:rPr>
            </w:pPr>
            <w:r w:rsidRPr="003C24B8">
              <w:rPr>
                <w:sz w:val="22"/>
                <w:szCs w:val="22"/>
              </w:rPr>
              <w:t>&lt;0.001</w:t>
            </w:r>
          </w:p>
        </w:tc>
      </w:tr>
      <w:tr w:rsidR="001C332B" w:rsidRPr="003C24B8" w14:paraId="15B32D41" w14:textId="77777777" w:rsidTr="006E6B76">
        <w:trPr>
          <w:trHeight w:val="340"/>
        </w:trPr>
        <w:tc>
          <w:tcPr>
            <w:tcW w:w="1455" w:type="dxa"/>
          </w:tcPr>
          <w:p w14:paraId="057D172F" w14:textId="77777777" w:rsidR="001C332B" w:rsidRPr="003C24B8" w:rsidRDefault="008352E7" w:rsidP="008352E7">
            <w:pPr>
              <w:spacing w:line="276" w:lineRule="auto"/>
              <w:jc w:val="center"/>
              <w:rPr>
                <w:b/>
                <w:i/>
                <w:sz w:val="20"/>
                <w:szCs w:val="22"/>
              </w:rPr>
            </w:pPr>
            <w:r w:rsidRPr="003C24B8">
              <w:rPr>
                <w:b/>
                <w:i/>
                <w:sz w:val="20"/>
                <w:szCs w:val="22"/>
              </w:rPr>
              <w:t>A. alternata</w:t>
            </w:r>
          </w:p>
        </w:tc>
        <w:tc>
          <w:tcPr>
            <w:tcW w:w="1080" w:type="dxa"/>
            <w:shd w:val="clear" w:color="auto" w:fill="E7E6E6"/>
          </w:tcPr>
          <w:p w14:paraId="2AEF1BF3" w14:textId="77777777" w:rsidR="001C332B" w:rsidRPr="003C24B8" w:rsidRDefault="008352E7" w:rsidP="008352E7">
            <w:pPr>
              <w:spacing w:line="276" w:lineRule="auto"/>
              <w:jc w:val="center"/>
              <w:rPr>
                <w:b/>
                <w:sz w:val="22"/>
                <w:szCs w:val="22"/>
              </w:rPr>
            </w:pPr>
            <w:r w:rsidRPr="003C24B8">
              <w:rPr>
                <w:b/>
                <w:sz w:val="22"/>
                <w:szCs w:val="22"/>
              </w:rPr>
              <w:t>Alt a 1</w:t>
            </w:r>
          </w:p>
        </w:tc>
        <w:tc>
          <w:tcPr>
            <w:tcW w:w="1571" w:type="dxa"/>
          </w:tcPr>
          <w:p w14:paraId="321003C2" w14:textId="77777777" w:rsidR="006E6B76" w:rsidRPr="003C24B8" w:rsidRDefault="008352E7" w:rsidP="008352E7">
            <w:pPr>
              <w:spacing w:line="276" w:lineRule="auto"/>
              <w:jc w:val="center"/>
              <w:rPr>
                <w:sz w:val="22"/>
                <w:szCs w:val="22"/>
              </w:rPr>
            </w:pPr>
            <w:r w:rsidRPr="003C24B8">
              <w:rPr>
                <w:sz w:val="22"/>
                <w:szCs w:val="22"/>
              </w:rPr>
              <w:t xml:space="preserve">28.05 </w:t>
            </w:r>
          </w:p>
          <w:p w14:paraId="2B6CF215" w14:textId="77777777" w:rsidR="001C332B" w:rsidRPr="003C24B8" w:rsidRDefault="008352E7" w:rsidP="008352E7">
            <w:pPr>
              <w:spacing w:line="276" w:lineRule="auto"/>
              <w:jc w:val="center"/>
              <w:rPr>
                <w:sz w:val="22"/>
                <w:szCs w:val="22"/>
              </w:rPr>
            </w:pPr>
            <w:r w:rsidRPr="003C24B8">
              <w:rPr>
                <w:sz w:val="22"/>
                <w:szCs w:val="22"/>
              </w:rPr>
              <w:t>(8.86-36.03)</w:t>
            </w:r>
          </w:p>
        </w:tc>
        <w:tc>
          <w:tcPr>
            <w:tcW w:w="1324" w:type="dxa"/>
          </w:tcPr>
          <w:p w14:paraId="0D8FE9D9" w14:textId="77777777" w:rsidR="006E6B76" w:rsidRPr="003C24B8" w:rsidRDefault="008352E7" w:rsidP="008352E7">
            <w:pPr>
              <w:spacing w:line="276" w:lineRule="auto"/>
              <w:jc w:val="center"/>
              <w:rPr>
                <w:sz w:val="22"/>
                <w:szCs w:val="22"/>
              </w:rPr>
            </w:pPr>
            <w:r w:rsidRPr="003C24B8">
              <w:rPr>
                <w:sz w:val="22"/>
                <w:szCs w:val="22"/>
              </w:rPr>
              <w:t xml:space="preserve">0 </w:t>
            </w:r>
          </w:p>
          <w:p w14:paraId="650AD19E" w14:textId="77777777" w:rsidR="001C332B" w:rsidRPr="003C24B8" w:rsidRDefault="008352E7" w:rsidP="008352E7">
            <w:pPr>
              <w:spacing w:line="276" w:lineRule="auto"/>
              <w:jc w:val="center"/>
              <w:rPr>
                <w:sz w:val="22"/>
                <w:szCs w:val="22"/>
              </w:rPr>
            </w:pPr>
            <w:r w:rsidRPr="003C24B8">
              <w:rPr>
                <w:sz w:val="22"/>
                <w:szCs w:val="22"/>
              </w:rPr>
              <w:t>(0-0)</w:t>
            </w:r>
          </w:p>
        </w:tc>
        <w:tc>
          <w:tcPr>
            <w:tcW w:w="1485" w:type="dxa"/>
          </w:tcPr>
          <w:p w14:paraId="6B18858B" w14:textId="77777777" w:rsidR="006E6B76" w:rsidRPr="003C24B8" w:rsidRDefault="008352E7" w:rsidP="008352E7">
            <w:pPr>
              <w:spacing w:line="276" w:lineRule="auto"/>
              <w:jc w:val="center"/>
              <w:rPr>
                <w:sz w:val="22"/>
                <w:szCs w:val="22"/>
              </w:rPr>
            </w:pPr>
            <w:r w:rsidRPr="003C24B8">
              <w:rPr>
                <w:sz w:val="22"/>
                <w:szCs w:val="22"/>
              </w:rPr>
              <w:t xml:space="preserve">8.59* </w:t>
            </w:r>
          </w:p>
          <w:p w14:paraId="26C81BF6" w14:textId="77777777" w:rsidR="001C332B" w:rsidRPr="003C24B8" w:rsidRDefault="008352E7" w:rsidP="008352E7">
            <w:pPr>
              <w:spacing w:line="276" w:lineRule="auto"/>
              <w:jc w:val="center"/>
              <w:rPr>
                <w:sz w:val="22"/>
                <w:szCs w:val="22"/>
              </w:rPr>
            </w:pPr>
            <w:r w:rsidRPr="003C24B8">
              <w:rPr>
                <w:sz w:val="22"/>
                <w:szCs w:val="22"/>
              </w:rPr>
              <w:t>(2.59-12.5)</w:t>
            </w:r>
          </w:p>
        </w:tc>
        <w:tc>
          <w:tcPr>
            <w:tcW w:w="1170" w:type="dxa"/>
          </w:tcPr>
          <w:p w14:paraId="65E56696" w14:textId="77777777" w:rsidR="006E6B76" w:rsidRPr="003C24B8" w:rsidRDefault="008352E7" w:rsidP="008352E7">
            <w:pPr>
              <w:spacing w:line="276" w:lineRule="auto"/>
              <w:jc w:val="center"/>
              <w:rPr>
                <w:sz w:val="22"/>
                <w:szCs w:val="22"/>
              </w:rPr>
            </w:pPr>
            <w:r w:rsidRPr="003C24B8">
              <w:rPr>
                <w:sz w:val="22"/>
                <w:szCs w:val="22"/>
              </w:rPr>
              <w:t xml:space="preserve">0 </w:t>
            </w:r>
          </w:p>
          <w:p w14:paraId="2C9D6781" w14:textId="77777777" w:rsidR="001C332B" w:rsidRPr="003C24B8" w:rsidRDefault="008352E7" w:rsidP="008352E7">
            <w:pPr>
              <w:spacing w:line="276" w:lineRule="auto"/>
              <w:jc w:val="center"/>
              <w:rPr>
                <w:sz w:val="22"/>
                <w:szCs w:val="22"/>
              </w:rPr>
            </w:pPr>
            <w:r w:rsidRPr="003C24B8">
              <w:rPr>
                <w:sz w:val="22"/>
                <w:szCs w:val="22"/>
              </w:rPr>
              <w:t>(0-0)</w:t>
            </w:r>
          </w:p>
        </w:tc>
        <w:tc>
          <w:tcPr>
            <w:tcW w:w="855" w:type="dxa"/>
          </w:tcPr>
          <w:p w14:paraId="2D987FA1" w14:textId="77777777" w:rsidR="001C332B" w:rsidRPr="003C24B8" w:rsidRDefault="008352E7" w:rsidP="008352E7">
            <w:pPr>
              <w:spacing w:line="276" w:lineRule="auto"/>
              <w:jc w:val="center"/>
              <w:rPr>
                <w:sz w:val="22"/>
                <w:szCs w:val="22"/>
              </w:rPr>
            </w:pPr>
            <w:r w:rsidRPr="003C24B8">
              <w:rPr>
                <w:sz w:val="22"/>
                <w:szCs w:val="22"/>
              </w:rPr>
              <w:t xml:space="preserve"> 0.944</w:t>
            </w:r>
          </w:p>
        </w:tc>
        <w:tc>
          <w:tcPr>
            <w:tcW w:w="1005" w:type="dxa"/>
          </w:tcPr>
          <w:p w14:paraId="4E650D11" w14:textId="77777777" w:rsidR="001C332B" w:rsidRPr="003C24B8" w:rsidRDefault="008352E7" w:rsidP="008352E7">
            <w:pPr>
              <w:spacing w:line="276" w:lineRule="auto"/>
              <w:jc w:val="center"/>
              <w:rPr>
                <w:sz w:val="22"/>
                <w:szCs w:val="22"/>
              </w:rPr>
            </w:pPr>
            <w:r w:rsidRPr="003C24B8">
              <w:rPr>
                <w:sz w:val="22"/>
                <w:szCs w:val="22"/>
              </w:rPr>
              <w:t>&lt;0.001</w:t>
            </w:r>
          </w:p>
        </w:tc>
      </w:tr>
      <w:tr w:rsidR="001C332B" w:rsidRPr="003C24B8" w14:paraId="4044DD63" w14:textId="77777777" w:rsidTr="006E6B76">
        <w:trPr>
          <w:trHeight w:val="340"/>
        </w:trPr>
        <w:tc>
          <w:tcPr>
            <w:tcW w:w="1455" w:type="dxa"/>
          </w:tcPr>
          <w:p w14:paraId="15DBD58E" w14:textId="77777777" w:rsidR="001C332B" w:rsidRPr="003C24B8" w:rsidRDefault="008352E7" w:rsidP="008352E7">
            <w:pPr>
              <w:spacing w:line="276" w:lineRule="auto"/>
              <w:jc w:val="center"/>
              <w:rPr>
                <w:b/>
                <w:sz w:val="20"/>
                <w:szCs w:val="22"/>
              </w:rPr>
            </w:pPr>
            <w:r w:rsidRPr="003C24B8">
              <w:rPr>
                <w:b/>
                <w:sz w:val="20"/>
                <w:szCs w:val="22"/>
              </w:rPr>
              <w:t>Apple</w:t>
            </w:r>
          </w:p>
        </w:tc>
        <w:tc>
          <w:tcPr>
            <w:tcW w:w="1080" w:type="dxa"/>
            <w:shd w:val="clear" w:color="auto" w:fill="E7E6E6"/>
          </w:tcPr>
          <w:p w14:paraId="2D9C723E" w14:textId="77777777" w:rsidR="001C332B" w:rsidRPr="003C24B8" w:rsidRDefault="008352E7" w:rsidP="008352E7">
            <w:pPr>
              <w:spacing w:line="276" w:lineRule="auto"/>
              <w:jc w:val="center"/>
              <w:rPr>
                <w:b/>
                <w:sz w:val="22"/>
                <w:szCs w:val="22"/>
              </w:rPr>
            </w:pPr>
            <w:r w:rsidRPr="003C24B8">
              <w:rPr>
                <w:b/>
                <w:sz w:val="22"/>
                <w:szCs w:val="22"/>
              </w:rPr>
              <w:t>Mal d 3</w:t>
            </w:r>
          </w:p>
        </w:tc>
        <w:tc>
          <w:tcPr>
            <w:tcW w:w="1571" w:type="dxa"/>
          </w:tcPr>
          <w:p w14:paraId="65D77D34" w14:textId="77777777" w:rsidR="006E6B76" w:rsidRPr="003C24B8" w:rsidRDefault="008352E7" w:rsidP="008352E7">
            <w:pPr>
              <w:spacing w:line="276" w:lineRule="auto"/>
              <w:jc w:val="center"/>
              <w:rPr>
                <w:sz w:val="22"/>
                <w:szCs w:val="22"/>
              </w:rPr>
            </w:pPr>
            <w:r w:rsidRPr="003C24B8">
              <w:rPr>
                <w:sz w:val="22"/>
                <w:szCs w:val="22"/>
              </w:rPr>
              <w:t xml:space="preserve">1.79 </w:t>
            </w:r>
          </w:p>
          <w:p w14:paraId="16EB1513" w14:textId="77777777" w:rsidR="001C332B" w:rsidRPr="003C24B8" w:rsidRDefault="008352E7" w:rsidP="008352E7">
            <w:pPr>
              <w:spacing w:line="276" w:lineRule="auto"/>
              <w:jc w:val="center"/>
              <w:rPr>
                <w:sz w:val="22"/>
                <w:szCs w:val="22"/>
              </w:rPr>
            </w:pPr>
            <w:r w:rsidRPr="003C24B8">
              <w:rPr>
                <w:sz w:val="22"/>
                <w:szCs w:val="22"/>
              </w:rPr>
              <w:t>(0.09-7.95)</w:t>
            </w:r>
          </w:p>
        </w:tc>
        <w:tc>
          <w:tcPr>
            <w:tcW w:w="1324" w:type="dxa"/>
          </w:tcPr>
          <w:p w14:paraId="539443EE" w14:textId="77777777" w:rsidR="006E6B76" w:rsidRPr="003C24B8" w:rsidRDefault="008352E7" w:rsidP="008352E7">
            <w:pPr>
              <w:spacing w:line="276" w:lineRule="auto"/>
              <w:jc w:val="center"/>
              <w:rPr>
                <w:sz w:val="22"/>
                <w:szCs w:val="22"/>
              </w:rPr>
            </w:pPr>
            <w:r w:rsidRPr="003C24B8">
              <w:rPr>
                <w:sz w:val="22"/>
                <w:szCs w:val="22"/>
              </w:rPr>
              <w:t xml:space="preserve">0 </w:t>
            </w:r>
          </w:p>
          <w:p w14:paraId="79FEECFB" w14:textId="77777777" w:rsidR="001C332B" w:rsidRPr="003C24B8" w:rsidRDefault="008352E7" w:rsidP="008352E7">
            <w:pPr>
              <w:spacing w:line="276" w:lineRule="auto"/>
              <w:jc w:val="center"/>
              <w:rPr>
                <w:sz w:val="22"/>
                <w:szCs w:val="22"/>
              </w:rPr>
            </w:pPr>
            <w:r w:rsidRPr="003C24B8">
              <w:rPr>
                <w:sz w:val="22"/>
                <w:szCs w:val="22"/>
              </w:rPr>
              <w:t>(0-0)</w:t>
            </w:r>
          </w:p>
        </w:tc>
        <w:tc>
          <w:tcPr>
            <w:tcW w:w="1485" w:type="dxa"/>
          </w:tcPr>
          <w:p w14:paraId="43D64C20" w14:textId="77777777" w:rsidR="006E6B76" w:rsidRPr="003C24B8" w:rsidRDefault="008352E7" w:rsidP="008352E7">
            <w:pPr>
              <w:spacing w:line="276" w:lineRule="auto"/>
              <w:jc w:val="center"/>
              <w:rPr>
                <w:sz w:val="22"/>
                <w:szCs w:val="22"/>
              </w:rPr>
            </w:pPr>
            <w:r w:rsidRPr="003C24B8">
              <w:rPr>
                <w:sz w:val="22"/>
                <w:szCs w:val="22"/>
              </w:rPr>
              <w:t xml:space="preserve">2.73 </w:t>
            </w:r>
          </w:p>
          <w:p w14:paraId="0F3333AE" w14:textId="77777777" w:rsidR="001C332B" w:rsidRPr="003C24B8" w:rsidRDefault="008352E7" w:rsidP="008352E7">
            <w:pPr>
              <w:spacing w:line="276" w:lineRule="auto"/>
              <w:jc w:val="center"/>
              <w:rPr>
                <w:sz w:val="22"/>
                <w:szCs w:val="22"/>
              </w:rPr>
            </w:pPr>
            <w:r w:rsidRPr="003C24B8">
              <w:rPr>
                <w:sz w:val="22"/>
                <w:szCs w:val="22"/>
              </w:rPr>
              <w:t>(1.2-3.95)</w:t>
            </w:r>
          </w:p>
        </w:tc>
        <w:tc>
          <w:tcPr>
            <w:tcW w:w="1170" w:type="dxa"/>
          </w:tcPr>
          <w:p w14:paraId="3A525BB3" w14:textId="77777777" w:rsidR="006E6B76" w:rsidRPr="003C24B8" w:rsidRDefault="008352E7" w:rsidP="008352E7">
            <w:pPr>
              <w:spacing w:line="276" w:lineRule="auto"/>
              <w:jc w:val="center"/>
              <w:rPr>
                <w:sz w:val="22"/>
                <w:szCs w:val="22"/>
              </w:rPr>
            </w:pPr>
            <w:r w:rsidRPr="003C24B8">
              <w:rPr>
                <w:sz w:val="22"/>
                <w:szCs w:val="22"/>
              </w:rPr>
              <w:t xml:space="preserve">0** </w:t>
            </w:r>
          </w:p>
          <w:p w14:paraId="0494B26E" w14:textId="77777777" w:rsidR="001C332B" w:rsidRPr="003C24B8" w:rsidRDefault="008352E7" w:rsidP="008352E7">
            <w:pPr>
              <w:spacing w:line="276" w:lineRule="auto"/>
              <w:jc w:val="center"/>
              <w:rPr>
                <w:sz w:val="22"/>
                <w:szCs w:val="22"/>
              </w:rPr>
            </w:pPr>
            <w:r w:rsidRPr="003C24B8">
              <w:rPr>
                <w:sz w:val="22"/>
                <w:szCs w:val="22"/>
              </w:rPr>
              <w:t>(0-0)</w:t>
            </w:r>
          </w:p>
        </w:tc>
        <w:tc>
          <w:tcPr>
            <w:tcW w:w="855" w:type="dxa"/>
          </w:tcPr>
          <w:p w14:paraId="578DD59D" w14:textId="77777777" w:rsidR="001C332B" w:rsidRPr="003C24B8" w:rsidRDefault="008352E7" w:rsidP="008352E7">
            <w:pPr>
              <w:spacing w:line="276" w:lineRule="auto"/>
              <w:jc w:val="center"/>
              <w:rPr>
                <w:sz w:val="22"/>
                <w:szCs w:val="22"/>
              </w:rPr>
            </w:pPr>
            <w:r w:rsidRPr="003C24B8">
              <w:rPr>
                <w:sz w:val="22"/>
                <w:szCs w:val="22"/>
              </w:rPr>
              <w:t>0.834</w:t>
            </w:r>
          </w:p>
        </w:tc>
        <w:tc>
          <w:tcPr>
            <w:tcW w:w="1005" w:type="dxa"/>
          </w:tcPr>
          <w:p w14:paraId="7748D5F4" w14:textId="77777777" w:rsidR="001C332B" w:rsidRPr="003C24B8" w:rsidRDefault="008352E7" w:rsidP="008352E7">
            <w:pPr>
              <w:spacing w:line="276" w:lineRule="auto"/>
              <w:jc w:val="center"/>
              <w:rPr>
                <w:sz w:val="22"/>
                <w:szCs w:val="22"/>
              </w:rPr>
            </w:pPr>
            <w:r w:rsidRPr="003C24B8">
              <w:rPr>
                <w:sz w:val="22"/>
                <w:szCs w:val="22"/>
              </w:rPr>
              <w:t>&lt;0.001</w:t>
            </w:r>
          </w:p>
        </w:tc>
      </w:tr>
      <w:tr w:rsidR="001C332B" w:rsidRPr="003C24B8" w14:paraId="1E54409D" w14:textId="77777777" w:rsidTr="006E6B76">
        <w:trPr>
          <w:trHeight w:val="340"/>
        </w:trPr>
        <w:tc>
          <w:tcPr>
            <w:tcW w:w="1455" w:type="dxa"/>
          </w:tcPr>
          <w:p w14:paraId="2CEE0099" w14:textId="77777777" w:rsidR="001C332B" w:rsidRPr="003C24B8" w:rsidRDefault="008352E7" w:rsidP="008352E7">
            <w:pPr>
              <w:spacing w:line="276" w:lineRule="auto"/>
              <w:jc w:val="center"/>
              <w:rPr>
                <w:b/>
                <w:sz w:val="20"/>
                <w:szCs w:val="22"/>
              </w:rPr>
            </w:pPr>
            <w:r w:rsidRPr="003C24B8">
              <w:rPr>
                <w:b/>
                <w:sz w:val="20"/>
                <w:szCs w:val="22"/>
              </w:rPr>
              <w:t>Peach</w:t>
            </w:r>
          </w:p>
        </w:tc>
        <w:tc>
          <w:tcPr>
            <w:tcW w:w="1080" w:type="dxa"/>
            <w:shd w:val="clear" w:color="auto" w:fill="E7E6E6"/>
          </w:tcPr>
          <w:p w14:paraId="4199BB0F" w14:textId="77777777" w:rsidR="001C332B" w:rsidRPr="003C24B8" w:rsidRDefault="008352E7" w:rsidP="008352E7">
            <w:pPr>
              <w:spacing w:line="276" w:lineRule="auto"/>
              <w:jc w:val="center"/>
              <w:rPr>
                <w:b/>
                <w:sz w:val="22"/>
                <w:szCs w:val="22"/>
              </w:rPr>
            </w:pPr>
            <w:proofErr w:type="spellStart"/>
            <w:r w:rsidRPr="003C24B8">
              <w:rPr>
                <w:b/>
                <w:sz w:val="22"/>
                <w:szCs w:val="22"/>
              </w:rPr>
              <w:t>Pru</w:t>
            </w:r>
            <w:proofErr w:type="spellEnd"/>
            <w:r w:rsidRPr="003C24B8">
              <w:rPr>
                <w:b/>
                <w:sz w:val="22"/>
                <w:szCs w:val="22"/>
              </w:rPr>
              <w:t xml:space="preserve"> p 3</w:t>
            </w:r>
          </w:p>
        </w:tc>
        <w:tc>
          <w:tcPr>
            <w:tcW w:w="1571" w:type="dxa"/>
          </w:tcPr>
          <w:p w14:paraId="41AA013F" w14:textId="77777777" w:rsidR="006E6B76" w:rsidRPr="003C24B8" w:rsidRDefault="008352E7" w:rsidP="008352E7">
            <w:pPr>
              <w:spacing w:line="276" w:lineRule="auto"/>
              <w:jc w:val="center"/>
              <w:rPr>
                <w:sz w:val="22"/>
                <w:szCs w:val="22"/>
              </w:rPr>
            </w:pPr>
            <w:r w:rsidRPr="003C24B8">
              <w:rPr>
                <w:sz w:val="22"/>
                <w:szCs w:val="22"/>
              </w:rPr>
              <w:t xml:space="preserve">5.39 </w:t>
            </w:r>
          </w:p>
          <w:p w14:paraId="31FE9CB6" w14:textId="77777777" w:rsidR="001C332B" w:rsidRPr="003C24B8" w:rsidRDefault="008352E7" w:rsidP="008352E7">
            <w:pPr>
              <w:spacing w:line="276" w:lineRule="auto"/>
              <w:jc w:val="center"/>
              <w:rPr>
                <w:sz w:val="22"/>
                <w:szCs w:val="22"/>
              </w:rPr>
            </w:pPr>
            <w:r w:rsidRPr="003C24B8">
              <w:rPr>
                <w:sz w:val="22"/>
                <w:szCs w:val="22"/>
              </w:rPr>
              <w:t>(2.55-15.64)</w:t>
            </w:r>
          </w:p>
        </w:tc>
        <w:tc>
          <w:tcPr>
            <w:tcW w:w="1324" w:type="dxa"/>
          </w:tcPr>
          <w:p w14:paraId="0FCECF42" w14:textId="77777777" w:rsidR="006E6B76" w:rsidRPr="003C24B8" w:rsidRDefault="008352E7" w:rsidP="008352E7">
            <w:pPr>
              <w:spacing w:line="276" w:lineRule="auto"/>
              <w:jc w:val="center"/>
              <w:rPr>
                <w:sz w:val="22"/>
                <w:szCs w:val="22"/>
              </w:rPr>
            </w:pPr>
            <w:r w:rsidRPr="003C24B8">
              <w:rPr>
                <w:sz w:val="22"/>
                <w:szCs w:val="22"/>
              </w:rPr>
              <w:t xml:space="preserve">0 </w:t>
            </w:r>
          </w:p>
          <w:p w14:paraId="0BF1C1FD" w14:textId="77777777" w:rsidR="001C332B" w:rsidRPr="003C24B8" w:rsidRDefault="008352E7" w:rsidP="008352E7">
            <w:pPr>
              <w:spacing w:line="276" w:lineRule="auto"/>
              <w:jc w:val="center"/>
              <w:rPr>
                <w:sz w:val="22"/>
                <w:szCs w:val="22"/>
              </w:rPr>
            </w:pPr>
            <w:r w:rsidRPr="003C24B8">
              <w:rPr>
                <w:sz w:val="22"/>
                <w:szCs w:val="22"/>
              </w:rPr>
              <w:t>(0-0)</w:t>
            </w:r>
          </w:p>
        </w:tc>
        <w:tc>
          <w:tcPr>
            <w:tcW w:w="1485" w:type="dxa"/>
          </w:tcPr>
          <w:p w14:paraId="54ABC46D" w14:textId="77777777" w:rsidR="006E6B76" w:rsidRPr="003C24B8" w:rsidRDefault="008352E7" w:rsidP="008352E7">
            <w:pPr>
              <w:spacing w:line="276" w:lineRule="auto"/>
              <w:jc w:val="center"/>
              <w:rPr>
                <w:sz w:val="22"/>
                <w:szCs w:val="22"/>
              </w:rPr>
            </w:pPr>
            <w:r w:rsidRPr="003C24B8">
              <w:rPr>
                <w:sz w:val="22"/>
                <w:szCs w:val="22"/>
              </w:rPr>
              <w:t xml:space="preserve">6.17 </w:t>
            </w:r>
          </w:p>
          <w:p w14:paraId="5C9B684E" w14:textId="77777777" w:rsidR="001C332B" w:rsidRPr="003C24B8" w:rsidRDefault="008352E7" w:rsidP="008352E7">
            <w:pPr>
              <w:spacing w:line="276" w:lineRule="auto"/>
              <w:jc w:val="center"/>
              <w:rPr>
                <w:sz w:val="22"/>
                <w:szCs w:val="22"/>
              </w:rPr>
            </w:pPr>
            <w:r w:rsidRPr="003C24B8">
              <w:rPr>
                <w:sz w:val="22"/>
                <w:szCs w:val="22"/>
              </w:rPr>
              <w:t>(2.35-12.2)</w:t>
            </w:r>
          </w:p>
        </w:tc>
        <w:tc>
          <w:tcPr>
            <w:tcW w:w="1170" w:type="dxa"/>
          </w:tcPr>
          <w:p w14:paraId="50FD68F4" w14:textId="77777777" w:rsidR="006E6B76" w:rsidRPr="003C24B8" w:rsidRDefault="008352E7" w:rsidP="008352E7">
            <w:pPr>
              <w:spacing w:line="276" w:lineRule="auto"/>
              <w:jc w:val="center"/>
              <w:rPr>
                <w:sz w:val="22"/>
                <w:szCs w:val="22"/>
              </w:rPr>
            </w:pPr>
            <w:r w:rsidRPr="003C24B8">
              <w:rPr>
                <w:sz w:val="22"/>
                <w:szCs w:val="22"/>
              </w:rPr>
              <w:t xml:space="preserve">0** </w:t>
            </w:r>
          </w:p>
          <w:p w14:paraId="24B032B5" w14:textId="77777777" w:rsidR="001C332B" w:rsidRPr="003C24B8" w:rsidRDefault="008352E7" w:rsidP="008352E7">
            <w:pPr>
              <w:spacing w:line="276" w:lineRule="auto"/>
              <w:jc w:val="center"/>
              <w:rPr>
                <w:sz w:val="22"/>
                <w:szCs w:val="22"/>
              </w:rPr>
            </w:pPr>
            <w:r w:rsidRPr="003C24B8">
              <w:rPr>
                <w:sz w:val="22"/>
                <w:szCs w:val="22"/>
              </w:rPr>
              <w:t>(0-0)</w:t>
            </w:r>
          </w:p>
        </w:tc>
        <w:tc>
          <w:tcPr>
            <w:tcW w:w="855" w:type="dxa"/>
          </w:tcPr>
          <w:p w14:paraId="169609F8" w14:textId="77777777" w:rsidR="001C332B" w:rsidRPr="003C24B8" w:rsidRDefault="008352E7" w:rsidP="008352E7">
            <w:pPr>
              <w:spacing w:line="276" w:lineRule="auto"/>
              <w:jc w:val="center"/>
              <w:rPr>
                <w:sz w:val="22"/>
                <w:szCs w:val="22"/>
              </w:rPr>
            </w:pPr>
            <w:r w:rsidRPr="003C24B8">
              <w:rPr>
                <w:sz w:val="22"/>
                <w:szCs w:val="22"/>
              </w:rPr>
              <w:t>0.928</w:t>
            </w:r>
          </w:p>
        </w:tc>
        <w:tc>
          <w:tcPr>
            <w:tcW w:w="1005" w:type="dxa"/>
          </w:tcPr>
          <w:p w14:paraId="15093C1F" w14:textId="77777777" w:rsidR="001C332B" w:rsidRPr="003C24B8" w:rsidRDefault="008352E7" w:rsidP="008352E7">
            <w:pPr>
              <w:spacing w:line="276" w:lineRule="auto"/>
              <w:jc w:val="center"/>
              <w:rPr>
                <w:sz w:val="22"/>
                <w:szCs w:val="22"/>
              </w:rPr>
            </w:pPr>
            <w:r w:rsidRPr="003C24B8">
              <w:rPr>
                <w:sz w:val="22"/>
                <w:szCs w:val="22"/>
              </w:rPr>
              <w:t>&lt;0.001</w:t>
            </w:r>
          </w:p>
        </w:tc>
      </w:tr>
      <w:tr w:rsidR="001C332B" w:rsidRPr="003C24B8" w14:paraId="4F8FF258" w14:textId="77777777" w:rsidTr="006E6B76">
        <w:trPr>
          <w:trHeight w:val="340"/>
        </w:trPr>
        <w:tc>
          <w:tcPr>
            <w:tcW w:w="1455" w:type="dxa"/>
          </w:tcPr>
          <w:p w14:paraId="213F883A" w14:textId="77777777" w:rsidR="001C332B" w:rsidRPr="003C24B8" w:rsidRDefault="008352E7" w:rsidP="008352E7">
            <w:pPr>
              <w:spacing w:line="276" w:lineRule="auto"/>
              <w:jc w:val="center"/>
              <w:rPr>
                <w:b/>
                <w:sz w:val="20"/>
                <w:szCs w:val="22"/>
              </w:rPr>
            </w:pPr>
            <w:r w:rsidRPr="003C24B8">
              <w:rPr>
                <w:b/>
                <w:sz w:val="20"/>
                <w:szCs w:val="22"/>
              </w:rPr>
              <w:t>Walnut</w:t>
            </w:r>
          </w:p>
        </w:tc>
        <w:tc>
          <w:tcPr>
            <w:tcW w:w="1080" w:type="dxa"/>
            <w:shd w:val="clear" w:color="auto" w:fill="E7E6E6"/>
          </w:tcPr>
          <w:p w14:paraId="1D59CD99" w14:textId="77777777" w:rsidR="001C332B" w:rsidRPr="003C24B8" w:rsidRDefault="008352E7" w:rsidP="008352E7">
            <w:pPr>
              <w:spacing w:line="276" w:lineRule="auto"/>
              <w:jc w:val="center"/>
              <w:rPr>
                <w:b/>
                <w:sz w:val="22"/>
                <w:szCs w:val="22"/>
              </w:rPr>
            </w:pPr>
            <w:r w:rsidRPr="003C24B8">
              <w:rPr>
                <w:b/>
                <w:sz w:val="22"/>
                <w:szCs w:val="22"/>
              </w:rPr>
              <w:t>Jug r 3</w:t>
            </w:r>
          </w:p>
        </w:tc>
        <w:tc>
          <w:tcPr>
            <w:tcW w:w="1571" w:type="dxa"/>
          </w:tcPr>
          <w:p w14:paraId="193126B9" w14:textId="77777777" w:rsidR="006E6B76" w:rsidRPr="003C24B8" w:rsidRDefault="008352E7" w:rsidP="006E6B76">
            <w:pPr>
              <w:spacing w:line="276" w:lineRule="auto"/>
              <w:jc w:val="center"/>
              <w:rPr>
                <w:sz w:val="22"/>
                <w:szCs w:val="22"/>
              </w:rPr>
            </w:pPr>
            <w:r w:rsidRPr="003C24B8">
              <w:rPr>
                <w:sz w:val="22"/>
                <w:szCs w:val="22"/>
              </w:rPr>
              <w:t xml:space="preserve">0.17 </w:t>
            </w:r>
          </w:p>
          <w:p w14:paraId="0DA74D45" w14:textId="77777777" w:rsidR="001C332B" w:rsidRPr="003C24B8" w:rsidRDefault="006E6B76" w:rsidP="006E6B76">
            <w:pPr>
              <w:spacing w:line="276" w:lineRule="auto"/>
              <w:jc w:val="center"/>
              <w:rPr>
                <w:sz w:val="22"/>
                <w:szCs w:val="22"/>
              </w:rPr>
            </w:pPr>
            <w:r w:rsidRPr="003C24B8">
              <w:rPr>
                <w:sz w:val="22"/>
                <w:szCs w:val="22"/>
              </w:rPr>
              <w:t>(</w:t>
            </w:r>
            <w:r w:rsidR="008352E7" w:rsidRPr="003C24B8">
              <w:rPr>
                <w:sz w:val="22"/>
                <w:szCs w:val="22"/>
              </w:rPr>
              <w:t>0.01-2.16)</w:t>
            </w:r>
          </w:p>
        </w:tc>
        <w:tc>
          <w:tcPr>
            <w:tcW w:w="1324" w:type="dxa"/>
          </w:tcPr>
          <w:p w14:paraId="664BFD2C" w14:textId="77777777" w:rsidR="006E6B76" w:rsidRPr="003C24B8" w:rsidRDefault="008352E7" w:rsidP="008352E7">
            <w:pPr>
              <w:spacing w:line="276" w:lineRule="auto"/>
              <w:jc w:val="center"/>
              <w:rPr>
                <w:sz w:val="22"/>
                <w:szCs w:val="22"/>
              </w:rPr>
            </w:pPr>
            <w:r w:rsidRPr="003C24B8">
              <w:rPr>
                <w:sz w:val="22"/>
                <w:szCs w:val="22"/>
              </w:rPr>
              <w:t xml:space="preserve">0 </w:t>
            </w:r>
          </w:p>
          <w:p w14:paraId="0C3C682A" w14:textId="77777777" w:rsidR="001C332B" w:rsidRPr="003C24B8" w:rsidRDefault="008352E7" w:rsidP="008352E7">
            <w:pPr>
              <w:spacing w:line="276" w:lineRule="auto"/>
              <w:jc w:val="center"/>
              <w:rPr>
                <w:sz w:val="22"/>
                <w:szCs w:val="22"/>
              </w:rPr>
            </w:pPr>
            <w:r w:rsidRPr="003C24B8">
              <w:rPr>
                <w:sz w:val="22"/>
                <w:szCs w:val="22"/>
              </w:rPr>
              <w:t>(0-0.01)</w:t>
            </w:r>
          </w:p>
        </w:tc>
        <w:tc>
          <w:tcPr>
            <w:tcW w:w="1485" w:type="dxa"/>
          </w:tcPr>
          <w:p w14:paraId="0474CB4F" w14:textId="77777777" w:rsidR="006E6B76" w:rsidRPr="003C24B8" w:rsidRDefault="008352E7" w:rsidP="008352E7">
            <w:pPr>
              <w:spacing w:line="276" w:lineRule="auto"/>
              <w:jc w:val="center"/>
              <w:rPr>
                <w:sz w:val="22"/>
                <w:szCs w:val="22"/>
              </w:rPr>
            </w:pPr>
            <w:r w:rsidRPr="003C24B8">
              <w:rPr>
                <w:sz w:val="22"/>
                <w:szCs w:val="22"/>
              </w:rPr>
              <w:t xml:space="preserve">1.03 </w:t>
            </w:r>
          </w:p>
          <w:p w14:paraId="0FA84415" w14:textId="77777777" w:rsidR="001C332B" w:rsidRPr="003C24B8" w:rsidRDefault="008352E7" w:rsidP="008352E7">
            <w:pPr>
              <w:spacing w:line="276" w:lineRule="auto"/>
              <w:jc w:val="center"/>
              <w:rPr>
                <w:sz w:val="22"/>
                <w:szCs w:val="22"/>
              </w:rPr>
            </w:pPr>
            <w:r w:rsidRPr="003C24B8">
              <w:rPr>
                <w:sz w:val="22"/>
                <w:szCs w:val="22"/>
              </w:rPr>
              <w:t>(0.1-2.38)</w:t>
            </w:r>
          </w:p>
        </w:tc>
        <w:tc>
          <w:tcPr>
            <w:tcW w:w="1170" w:type="dxa"/>
          </w:tcPr>
          <w:p w14:paraId="45489DD0" w14:textId="77777777" w:rsidR="001C332B" w:rsidRPr="003C24B8" w:rsidRDefault="008352E7" w:rsidP="008352E7">
            <w:pPr>
              <w:spacing w:line="276" w:lineRule="auto"/>
              <w:jc w:val="center"/>
              <w:rPr>
                <w:sz w:val="22"/>
                <w:szCs w:val="22"/>
              </w:rPr>
            </w:pPr>
            <w:r w:rsidRPr="003C24B8">
              <w:rPr>
                <w:sz w:val="22"/>
                <w:szCs w:val="22"/>
              </w:rPr>
              <w:t>0.01** (0-0.02)</w:t>
            </w:r>
          </w:p>
        </w:tc>
        <w:tc>
          <w:tcPr>
            <w:tcW w:w="855" w:type="dxa"/>
          </w:tcPr>
          <w:p w14:paraId="0DDB19A5" w14:textId="77777777" w:rsidR="001C332B" w:rsidRPr="003C24B8" w:rsidRDefault="008352E7" w:rsidP="008352E7">
            <w:pPr>
              <w:spacing w:line="276" w:lineRule="auto"/>
              <w:jc w:val="center"/>
              <w:rPr>
                <w:sz w:val="22"/>
                <w:szCs w:val="22"/>
              </w:rPr>
            </w:pPr>
            <w:r w:rsidRPr="003C24B8">
              <w:rPr>
                <w:sz w:val="22"/>
                <w:szCs w:val="22"/>
              </w:rPr>
              <w:t>0.799</w:t>
            </w:r>
          </w:p>
        </w:tc>
        <w:tc>
          <w:tcPr>
            <w:tcW w:w="1005" w:type="dxa"/>
          </w:tcPr>
          <w:p w14:paraId="297383B1" w14:textId="77777777" w:rsidR="001C332B" w:rsidRPr="003C24B8" w:rsidRDefault="008352E7" w:rsidP="008352E7">
            <w:pPr>
              <w:spacing w:line="276" w:lineRule="auto"/>
              <w:jc w:val="center"/>
              <w:rPr>
                <w:sz w:val="22"/>
                <w:szCs w:val="22"/>
              </w:rPr>
            </w:pPr>
            <w:r w:rsidRPr="003C24B8">
              <w:rPr>
                <w:sz w:val="22"/>
                <w:szCs w:val="22"/>
              </w:rPr>
              <w:t>&lt;0.001</w:t>
            </w:r>
          </w:p>
        </w:tc>
      </w:tr>
      <w:tr w:rsidR="001C332B" w:rsidRPr="003C24B8" w14:paraId="780DC91A" w14:textId="77777777" w:rsidTr="006E6B76">
        <w:trPr>
          <w:trHeight w:val="340"/>
        </w:trPr>
        <w:tc>
          <w:tcPr>
            <w:tcW w:w="1455" w:type="dxa"/>
          </w:tcPr>
          <w:p w14:paraId="6050FA06" w14:textId="77777777" w:rsidR="001C332B" w:rsidRPr="003C24B8" w:rsidRDefault="008352E7" w:rsidP="008352E7">
            <w:pPr>
              <w:spacing w:line="276" w:lineRule="auto"/>
              <w:jc w:val="center"/>
              <w:rPr>
                <w:b/>
                <w:sz w:val="20"/>
                <w:szCs w:val="22"/>
              </w:rPr>
            </w:pPr>
            <w:r w:rsidRPr="003C24B8">
              <w:rPr>
                <w:b/>
                <w:sz w:val="20"/>
                <w:szCs w:val="22"/>
              </w:rPr>
              <w:t>Hazelnut</w:t>
            </w:r>
          </w:p>
        </w:tc>
        <w:tc>
          <w:tcPr>
            <w:tcW w:w="1080" w:type="dxa"/>
            <w:shd w:val="clear" w:color="auto" w:fill="E7E6E6"/>
          </w:tcPr>
          <w:p w14:paraId="1D94B324" w14:textId="77777777" w:rsidR="001C332B" w:rsidRPr="003C24B8" w:rsidRDefault="008352E7" w:rsidP="008352E7">
            <w:pPr>
              <w:spacing w:line="276" w:lineRule="auto"/>
              <w:jc w:val="center"/>
              <w:rPr>
                <w:b/>
                <w:sz w:val="22"/>
                <w:szCs w:val="22"/>
              </w:rPr>
            </w:pPr>
            <w:r w:rsidRPr="003C24B8">
              <w:rPr>
                <w:b/>
                <w:sz w:val="22"/>
                <w:szCs w:val="22"/>
              </w:rPr>
              <w:t>Cor a 8</w:t>
            </w:r>
          </w:p>
        </w:tc>
        <w:tc>
          <w:tcPr>
            <w:tcW w:w="1571" w:type="dxa"/>
          </w:tcPr>
          <w:p w14:paraId="6CA92253" w14:textId="77777777" w:rsidR="006E6B76" w:rsidRPr="003C24B8" w:rsidRDefault="008352E7" w:rsidP="008352E7">
            <w:pPr>
              <w:spacing w:line="276" w:lineRule="auto"/>
              <w:jc w:val="center"/>
              <w:rPr>
                <w:sz w:val="22"/>
                <w:szCs w:val="22"/>
              </w:rPr>
            </w:pPr>
            <w:r w:rsidRPr="003C24B8">
              <w:rPr>
                <w:sz w:val="22"/>
                <w:szCs w:val="22"/>
              </w:rPr>
              <w:t xml:space="preserve">2.09 </w:t>
            </w:r>
          </w:p>
          <w:p w14:paraId="2F96B779" w14:textId="77777777" w:rsidR="001C332B" w:rsidRPr="003C24B8" w:rsidRDefault="008352E7" w:rsidP="008352E7">
            <w:pPr>
              <w:spacing w:line="276" w:lineRule="auto"/>
              <w:jc w:val="center"/>
              <w:rPr>
                <w:sz w:val="22"/>
                <w:szCs w:val="22"/>
              </w:rPr>
            </w:pPr>
            <w:r w:rsidRPr="003C24B8">
              <w:rPr>
                <w:sz w:val="22"/>
                <w:szCs w:val="22"/>
              </w:rPr>
              <w:t>(1.41-9.09)</w:t>
            </w:r>
          </w:p>
        </w:tc>
        <w:tc>
          <w:tcPr>
            <w:tcW w:w="1324" w:type="dxa"/>
          </w:tcPr>
          <w:p w14:paraId="44097765" w14:textId="77777777" w:rsidR="006E6B76" w:rsidRPr="003C24B8" w:rsidRDefault="008352E7" w:rsidP="008352E7">
            <w:pPr>
              <w:spacing w:line="276" w:lineRule="auto"/>
              <w:jc w:val="center"/>
              <w:rPr>
                <w:sz w:val="22"/>
                <w:szCs w:val="22"/>
              </w:rPr>
            </w:pPr>
            <w:r w:rsidRPr="003C24B8">
              <w:rPr>
                <w:sz w:val="22"/>
                <w:szCs w:val="22"/>
              </w:rPr>
              <w:t xml:space="preserve">0.06 </w:t>
            </w:r>
          </w:p>
          <w:p w14:paraId="3A3640BF" w14:textId="77777777" w:rsidR="001C332B" w:rsidRPr="003C24B8" w:rsidRDefault="008352E7" w:rsidP="008352E7">
            <w:pPr>
              <w:spacing w:line="276" w:lineRule="auto"/>
              <w:jc w:val="center"/>
              <w:rPr>
                <w:sz w:val="22"/>
                <w:szCs w:val="22"/>
              </w:rPr>
            </w:pPr>
            <w:r w:rsidRPr="003C24B8">
              <w:rPr>
                <w:sz w:val="22"/>
                <w:szCs w:val="22"/>
              </w:rPr>
              <w:t>(0.03-0.14)</w:t>
            </w:r>
          </w:p>
        </w:tc>
        <w:tc>
          <w:tcPr>
            <w:tcW w:w="1485" w:type="dxa"/>
          </w:tcPr>
          <w:p w14:paraId="4E5EBE2C" w14:textId="77777777" w:rsidR="006E6B76" w:rsidRPr="003C24B8" w:rsidRDefault="008352E7" w:rsidP="008352E7">
            <w:pPr>
              <w:spacing w:line="276" w:lineRule="auto"/>
              <w:jc w:val="center"/>
              <w:rPr>
                <w:sz w:val="22"/>
                <w:szCs w:val="22"/>
              </w:rPr>
            </w:pPr>
            <w:r w:rsidRPr="003C24B8">
              <w:rPr>
                <w:sz w:val="22"/>
                <w:szCs w:val="22"/>
              </w:rPr>
              <w:t xml:space="preserve">1.19* </w:t>
            </w:r>
          </w:p>
          <w:p w14:paraId="23B26F35" w14:textId="77777777" w:rsidR="001C332B" w:rsidRPr="003C24B8" w:rsidRDefault="008352E7" w:rsidP="008352E7">
            <w:pPr>
              <w:spacing w:line="276" w:lineRule="auto"/>
              <w:jc w:val="center"/>
              <w:rPr>
                <w:sz w:val="22"/>
                <w:szCs w:val="22"/>
              </w:rPr>
            </w:pPr>
            <w:r w:rsidRPr="003C24B8">
              <w:rPr>
                <w:sz w:val="22"/>
                <w:szCs w:val="22"/>
              </w:rPr>
              <w:t>(0.66-2.7)</w:t>
            </w:r>
          </w:p>
        </w:tc>
        <w:tc>
          <w:tcPr>
            <w:tcW w:w="1170" w:type="dxa"/>
          </w:tcPr>
          <w:p w14:paraId="0F611A33" w14:textId="77777777" w:rsidR="006E6B76" w:rsidRPr="003C24B8" w:rsidRDefault="008352E7" w:rsidP="008352E7">
            <w:pPr>
              <w:spacing w:line="276" w:lineRule="auto"/>
              <w:jc w:val="center"/>
              <w:rPr>
                <w:sz w:val="22"/>
                <w:szCs w:val="22"/>
              </w:rPr>
            </w:pPr>
            <w:r w:rsidRPr="003C24B8">
              <w:rPr>
                <w:sz w:val="22"/>
                <w:szCs w:val="22"/>
              </w:rPr>
              <w:t xml:space="preserve">0* </w:t>
            </w:r>
          </w:p>
          <w:p w14:paraId="1B36D71E" w14:textId="77777777" w:rsidR="001C332B" w:rsidRPr="003C24B8" w:rsidRDefault="008352E7" w:rsidP="008352E7">
            <w:pPr>
              <w:spacing w:line="276" w:lineRule="auto"/>
              <w:jc w:val="center"/>
              <w:rPr>
                <w:sz w:val="22"/>
                <w:szCs w:val="22"/>
              </w:rPr>
            </w:pPr>
            <w:r w:rsidRPr="003C24B8">
              <w:rPr>
                <w:sz w:val="22"/>
                <w:szCs w:val="22"/>
              </w:rPr>
              <w:t>(0-0)</w:t>
            </w:r>
          </w:p>
        </w:tc>
        <w:tc>
          <w:tcPr>
            <w:tcW w:w="855" w:type="dxa"/>
          </w:tcPr>
          <w:p w14:paraId="21E76368" w14:textId="77777777" w:rsidR="001C332B" w:rsidRPr="003C24B8" w:rsidRDefault="008352E7" w:rsidP="008352E7">
            <w:pPr>
              <w:spacing w:line="276" w:lineRule="auto"/>
              <w:jc w:val="center"/>
              <w:rPr>
                <w:sz w:val="22"/>
                <w:szCs w:val="22"/>
              </w:rPr>
            </w:pPr>
            <w:r w:rsidRPr="003C24B8">
              <w:rPr>
                <w:sz w:val="22"/>
                <w:szCs w:val="22"/>
              </w:rPr>
              <w:t>0.824</w:t>
            </w:r>
          </w:p>
        </w:tc>
        <w:tc>
          <w:tcPr>
            <w:tcW w:w="1005" w:type="dxa"/>
          </w:tcPr>
          <w:p w14:paraId="44DD4786" w14:textId="77777777" w:rsidR="001C332B" w:rsidRPr="003C24B8" w:rsidRDefault="008352E7" w:rsidP="008352E7">
            <w:pPr>
              <w:spacing w:line="276" w:lineRule="auto"/>
              <w:jc w:val="center"/>
              <w:rPr>
                <w:sz w:val="22"/>
                <w:szCs w:val="22"/>
              </w:rPr>
            </w:pPr>
            <w:r w:rsidRPr="003C24B8">
              <w:rPr>
                <w:sz w:val="22"/>
                <w:szCs w:val="22"/>
              </w:rPr>
              <w:t>&lt;0.001</w:t>
            </w:r>
          </w:p>
        </w:tc>
      </w:tr>
      <w:tr w:rsidR="001C332B" w:rsidRPr="003C24B8" w14:paraId="0D3CFF49" w14:textId="77777777" w:rsidTr="006E6B76">
        <w:trPr>
          <w:trHeight w:val="340"/>
        </w:trPr>
        <w:tc>
          <w:tcPr>
            <w:tcW w:w="1455" w:type="dxa"/>
          </w:tcPr>
          <w:p w14:paraId="43E8DA17" w14:textId="77777777" w:rsidR="001C332B" w:rsidRPr="003C24B8" w:rsidRDefault="008352E7" w:rsidP="008352E7">
            <w:pPr>
              <w:spacing w:line="276" w:lineRule="auto"/>
              <w:jc w:val="center"/>
              <w:rPr>
                <w:b/>
                <w:sz w:val="20"/>
                <w:szCs w:val="22"/>
              </w:rPr>
            </w:pPr>
            <w:r w:rsidRPr="003C24B8">
              <w:rPr>
                <w:b/>
                <w:sz w:val="20"/>
                <w:szCs w:val="22"/>
              </w:rPr>
              <w:t>Peanut</w:t>
            </w:r>
          </w:p>
        </w:tc>
        <w:tc>
          <w:tcPr>
            <w:tcW w:w="1080" w:type="dxa"/>
            <w:shd w:val="clear" w:color="auto" w:fill="E7E6E6"/>
          </w:tcPr>
          <w:p w14:paraId="570370B5" w14:textId="77777777" w:rsidR="001C332B" w:rsidRPr="003C24B8" w:rsidRDefault="008352E7" w:rsidP="008352E7">
            <w:pPr>
              <w:spacing w:line="276" w:lineRule="auto"/>
              <w:jc w:val="center"/>
              <w:rPr>
                <w:b/>
                <w:sz w:val="22"/>
                <w:szCs w:val="22"/>
              </w:rPr>
            </w:pPr>
            <w:r w:rsidRPr="003C24B8">
              <w:rPr>
                <w:b/>
                <w:sz w:val="22"/>
                <w:szCs w:val="22"/>
              </w:rPr>
              <w:t>Ara h 9</w:t>
            </w:r>
          </w:p>
        </w:tc>
        <w:tc>
          <w:tcPr>
            <w:tcW w:w="1571" w:type="dxa"/>
          </w:tcPr>
          <w:p w14:paraId="3A07AD1E" w14:textId="77777777" w:rsidR="006E6B76" w:rsidRPr="003C24B8" w:rsidRDefault="008352E7" w:rsidP="008352E7">
            <w:pPr>
              <w:spacing w:line="276" w:lineRule="auto"/>
              <w:jc w:val="center"/>
              <w:rPr>
                <w:sz w:val="22"/>
                <w:szCs w:val="22"/>
              </w:rPr>
            </w:pPr>
            <w:r w:rsidRPr="003C24B8">
              <w:rPr>
                <w:sz w:val="22"/>
                <w:szCs w:val="22"/>
              </w:rPr>
              <w:t xml:space="preserve">3.93 </w:t>
            </w:r>
          </w:p>
          <w:p w14:paraId="538917D0" w14:textId="77777777" w:rsidR="001C332B" w:rsidRPr="003C24B8" w:rsidRDefault="008352E7" w:rsidP="008352E7">
            <w:pPr>
              <w:spacing w:line="276" w:lineRule="auto"/>
              <w:jc w:val="center"/>
              <w:rPr>
                <w:sz w:val="22"/>
                <w:szCs w:val="22"/>
              </w:rPr>
            </w:pPr>
            <w:r w:rsidRPr="003C24B8">
              <w:rPr>
                <w:sz w:val="22"/>
                <w:szCs w:val="22"/>
              </w:rPr>
              <w:t>(2.28-10.99)</w:t>
            </w:r>
          </w:p>
        </w:tc>
        <w:tc>
          <w:tcPr>
            <w:tcW w:w="1324" w:type="dxa"/>
          </w:tcPr>
          <w:p w14:paraId="4D635E14" w14:textId="77777777" w:rsidR="006E6B76" w:rsidRPr="003C24B8" w:rsidRDefault="008352E7" w:rsidP="008352E7">
            <w:pPr>
              <w:spacing w:line="276" w:lineRule="auto"/>
              <w:jc w:val="center"/>
              <w:rPr>
                <w:sz w:val="22"/>
                <w:szCs w:val="22"/>
              </w:rPr>
            </w:pPr>
            <w:r w:rsidRPr="003C24B8">
              <w:rPr>
                <w:sz w:val="22"/>
                <w:szCs w:val="22"/>
              </w:rPr>
              <w:t xml:space="preserve">0.1 </w:t>
            </w:r>
          </w:p>
          <w:p w14:paraId="781D0519" w14:textId="77777777" w:rsidR="001C332B" w:rsidRPr="003C24B8" w:rsidRDefault="008352E7" w:rsidP="006E6B76">
            <w:pPr>
              <w:spacing w:line="276" w:lineRule="auto"/>
              <w:jc w:val="center"/>
              <w:rPr>
                <w:sz w:val="22"/>
                <w:szCs w:val="22"/>
              </w:rPr>
            </w:pPr>
            <w:r w:rsidRPr="003C24B8">
              <w:rPr>
                <w:sz w:val="22"/>
                <w:szCs w:val="22"/>
              </w:rPr>
              <w:t>(0.02-0.73)</w:t>
            </w:r>
          </w:p>
        </w:tc>
        <w:tc>
          <w:tcPr>
            <w:tcW w:w="1485" w:type="dxa"/>
          </w:tcPr>
          <w:p w14:paraId="0C597623" w14:textId="77777777" w:rsidR="006E6B76" w:rsidRPr="003C24B8" w:rsidRDefault="008352E7" w:rsidP="008352E7">
            <w:pPr>
              <w:spacing w:line="276" w:lineRule="auto"/>
              <w:jc w:val="center"/>
              <w:rPr>
                <w:sz w:val="22"/>
                <w:szCs w:val="22"/>
              </w:rPr>
            </w:pPr>
            <w:r w:rsidRPr="003C24B8">
              <w:rPr>
                <w:sz w:val="22"/>
                <w:szCs w:val="22"/>
              </w:rPr>
              <w:t xml:space="preserve">2.29* </w:t>
            </w:r>
          </w:p>
          <w:p w14:paraId="5F15DF79" w14:textId="77777777" w:rsidR="001C332B" w:rsidRPr="003C24B8" w:rsidRDefault="008352E7" w:rsidP="008352E7">
            <w:pPr>
              <w:spacing w:line="276" w:lineRule="auto"/>
              <w:jc w:val="center"/>
              <w:rPr>
                <w:sz w:val="22"/>
                <w:szCs w:val="22"/>
              </w:rPr>
            </w:pPr>
            <w:r w:rsidRPr="003C24B8">
              <w:rPr>
                <w:sz w:val="22"/>
                <w:szCs w:val="22"/>
              </w:rPr>
              <w:t>(1.23-6.23)</w:t>
            </w:r>
          </w:p>
        </w:tc>
        <w:tc>
          <w:tcPr>
            <w:tcW w:w="1170" w:type="dxa"/>
          </w:tcPr>
          <w:p w14:paraId="652B1F17" w14:textId="77777777" w:rsidR="006E6B76" w:rsidRPr="003C24B8" w:rsidRDefault="008352E7" w:rsidP="008352E7">
            <w:pPr>
              <w:spacing w:line="276" w:lineRule="auto"/>
              <w:jc w:val="center"/>
              <w:rPr>
                <w:sz w:val="22"/>
                <w:szCs w:val="22"/>
              </w:rPr>
            </w:pPr>
            <w:r w:rsidRPr="003C24B8">
              <w:rPr>
                <w:sz w:val="22"/>
                <w:szCs w:val="22"/>
              </w:rPr>
              <w:t xml:space="preserve">0* </w:t>
            </w:r>
          </w:p>
          <w:p w14:paraId="4254920B" w14:textId="77777777" w:rsidR="001C332B" w:rsidRPr="003C24B8" w:rsidRDefault="008352E7" w:rsidP="008352E7">
            <w:pPr>
              <w:spacing w:line="276" w:lineRule="auto"/>
              <w:jc w:val="center"/>
              <w:rPr>
                <w:sz w:val="22"/>
                <w:szCs w:val="22"/>
              </w:rPr>
            </w:pPr>
            <w:r w:rsidRPr="003C24B8">
              <w:rPr>
                <w:sz w:val="22"/>
                <w:szCs w:val="22"/>
              </w:rPr>
              <w:t>(0-0.01)</w:t>
            </w:r>
          </w:p>
        </w:tc>
        <w:tc>
          <w:tcPr>
            <w:tcW w:w="855" w:type="dxa"/>
          </w:tcPr>
          <w:p w14:paraId="41737DEC" w14:textId="77777777" w:rsidR="001C332B" w:rsidRPr="003C24B8" w:rsidRDefault="008352E7" w:rsidP="008352E7">
            <w:pPr>
              <w:spacing w:line="276" w:lineRule="auto"/>
              <w:jc w:val="center"/>
              <w:rPr>
                <w:sz w:val="22"/>
                <w:szCs w:val="22"/>
              </w:rPr>
            </w:pPr>
            <w:r w:rsidRPr="003C24B8">
              <w:rPr>
                <w:sz w:val="22"/>
                <w:szCs w:val="22"/>
              </w:rPr>
              <w:t>0.780</w:t>
            </w:r>
          </w:p>
        </w:tc>
        <w:tc>
          <w:tcPr>
            <w:tcW w:w="1005" w:type="dxa"/>
          </w:tcPr>
          <w:p w14:paraId="06B29CFB" w14:textId="77777777" w:rsidR="001C332B" w:rsidRPr="003C24B8" w:rsidRDefault="008352E7" w:rsidP="008352E7">
            <w:pPr>
              <w:spacing w:line="276" w:lineRule="auto"/>
              <w:jc w:val="center"/>
              <w:rPr>
                <w:sz w:val="22"/>
                <w:szCs w:val="22"/>
              </w:rPr>
            </w:pPr>
            <w:r w:rsidRPr="003C24B8">
              <w:rPr>
                <w:sz w:val="22"/>
                <w:szCs w:val="22"/>
              </w:rPr>
              <w:t>&lt;0.001</w:t>
            </w:r>
          </w:p>
        </w:tc>
      </w:tr>
    </w:tbl>
    <w:p w14:paraId="781A4C89" w14:textId="77777777" w:rsidR="001C332B" w:rsidRPr="00C0056E" w:rsidRDefault="008352E7" w:rsidP="008352E7">
      <w:pPr>
        <w:spacing w:line="276" w:lineRule="auto"/>
        <w:rPr>
          <w:sz w:val="20"/>
        </w:rPr>
      </w:pPr>
      <w:r w:rsidRPr="00C0056E">
        <w:rPr>
          <w:sz w:val="20"/>
        </w:rPr>
        <w:t xml:space="preserve">* Wilcoxon signed rank test </w:t>
      </w:r>
      <w:r w:rsidR="00C0056E" w:rsidRPr="00C0056E">
        <w:rPr>
          <w:i/>
          <w:sz w:val="20"/>
        </w:rPr>
        <w:t>P</w:t>
      </w:r>
      <w:r w:rsidRPr="00C0056E">
        <w:rPr>
          <w:sz w:val="20"/>
        </w:rPr>
        <w:t xml:space="preserve">&lt;0.05 between </w:t>
      </w:r>
      <w:proofErr w:type="spellStart"/>
      <w:r w:rsidRPr="00C0056E">
        <w:rPr>
          <w:sz w:val="20"/>
        </w:rPr>
        <w:t>sIgE</w:t>
      </w:r>
      <w:proofErr w:type="spellEnd"/>
      <w:r w:rsidRPr="00C0056E">
        <w:rPr>
          <w:sz w:val="20"/>
        </w:rPr>
        <w:t xml:space="preserve"> by ALEX2 and ImmunoCAP showing higher </w:t>
      </w:r>
      <w:proofErr w:type="spellStart"/>
      <w:r w:rsidRPr="00C0056E">
        <w:rPr>
          <w:sz w:val="20"/>
        </w:rPr>
        <w:t>sIgE</w:t>
      </w:r>
      <w:proofErr w:type="spellEnd"/>
      <w:r w:rsidRPr="00C0056E">
        <w:rPr>
          <w:sz w:val="20"/>
        </w:rPr>
        <w:t xml:space="preserve"> by ALEX2 than by ImmunoCAP for cases and controls.</w:t>
      </w:r>
    </w:p>
    <w:p w14:paraId="23F72CBE" w14:textId="77777777" w:rsidR="0023095A" w:rsidRPr="003C24B8" w:rsidRDefault="008352E7" w:rsidP="003C24B8">
      <w:pPr>
        <w:spacing w:line="276" w:lineRule="auto"/>
        <w:rPr>
          <w:sz w:val="20"/>
        </w:rPr>
      </w:pPr>
      <w:r w:rsidRPr="00C0056E">
        <w:rPr>
          <w:sz w:val="20"/>
        </w:rPr>
        <w:t xml:space="preserve">** Wilcoxon signed rank test </w:t>
      </w:r>
      <w:r w:rsidR="00C0056E" w:rsidRPr="00C0056E">
        <w:rPr>
          <w:i/>
          <w:sz w:val="20"/>
        </w:rPr>
        <w:t>P</w:t>
      </w:r>
      <w:r w:rsidRPr="00C0056E">
        <w:rPr>
          <w:sz w:val="20"/>
        </w:rPr>
        <w:t xml:space="preserve">&lt;0.05 between </w:t>
      </w:r>
      <w:proofErr w:type="spellStart"/>
      <w:r w:rsidRPr="00C0056E">
        <w:rPr>
          <w:sz w:val="20"/>
        </w:rPr>
        <w:t>sIgE</w:t>
      </w:r>
      <w:proofErr w:type="spellEnd"/>
      <w:r w:rsidRPr="00C0056E">
        <w:rPr>
          <w:sz w:val="20"/>
        </w:rPr>
        <w:t xml:space="preserve"> by ALEX2 and ImmunoCAP showing higher </w:t>
      </w:r>
      <w:proofErr w:type="spellStart"/>
      <w:r w:rsidRPr="00C0056E">
        <w:rPr>
          <w:sz w:val="20"/>
        </w:rPr>
        <w:t>sIgE</w:t>
      </w:r>
      <w:proofErr w:type="spellEnd"/>
      <w:r w:rsidRPr="00C0056E">
        <w:rPr>
          <w:sz w:val="20"/>
        </w:rPr>
        <w:t xml:space="preserve"> by ImmunoCAP than by ALEX2 for cases and controls.</w:t>
      </w:r>
    </w:p>
    <w:p w14:paraId="5C7C29FF" w14:textId="77777777" w:rsidR="0023095A" w:rsidRPr="0023095A" w:rsidRDefault="0023095A">
      <w:r w:rsidRPr="0023095A">
        <w:rPr>
          <w:b/>
        </w:rPr>
        <w:lastRenderedPageBreak/>
        <w:t>Table IV</w:t>
      </w:r>
      <w:r w:rsidRPr="0023095A">
        <w:t>. Intra</w:t>
      </w:r>
      <w:r w:rsidR="004A342B">
        <w:t>-</w:t>
      </w:r>
      <w:r w:rsidRPr="0023095A">
        <w:t>assay and inter</w:t>
      </w:r>
      <w:r w:rsidR="004A342B">
        <w:t>-</w:t>
      </w:r>
      <w:r w:rsidRPr="0023095A">
        <w:t xml:space="preserve">assay coefficient of variability (CV, %) obtained with the pool of sera. Allergens were classified according to their median </w:t>
      </w:r>
      <w:proofErr w:type="spellStart"/>
      <w:r w:rsidRPr="0023095A">
        <w:t>sIgE</w:t>
      </w:r>
      <w:proofErr w:type="spellEnd"/>
      <w:r w:rsidRPr="0023095A">
        <w:t xml:space="preserve"> (</w:t>
      </w:r>
      <w:proofErr w:type="spellStart"/>
      <w:r w:rsidRPr="0023095A">
        <w:t>kU</w:t>
      </w:r>
      <w:r w:rsidRPr="0023095A">
        <w:rPr>
          <w:vertAlign w:val="subscript"/>
        </w:rPr>
        <w:t>A</w:t>
      </w:r>
      <w:proofErr w:type="spellEnd"/>
      <w:r w:rsidRPr="0023095A">
        <w:t xml:space="preserve">/L) values. Median CV and IQR were calculated for each range (≥0.30 - &lt;1, ≥1 - &lt;10 and &gt;10 </w:t>
      </w:r>
      <w:proofErr w:type="spellStart"/>
      <w:r w:rsidRPr="0023095A">
        <w:t>kU</w:t>
      </w:r>
      <w:r w:rsidRPr="0023095A">
        <w:rPr>
          <w:vertAlign w:val="subscript"/>
        </w:rPr>
        <w:t>A</w:t>
      </w:r>
      <w:proofErr w:type="spellEnd"/>
      <w:r w:rsidRPr="0023095A">
        <w:t>/L). The number (N) of allergens used in each range are reported. Data were considered for analysis only for allergens showing positive results in at least 50% of the 10 repeated measurements in the intra</w:t>
      </w:r>
      <w:r w:rsidR="004A342B">
        <w:t>-</w:t>
      </w:r>
      <w:r w:rsidRPr="0023095A">
        <w:t>assay analysis or 50% of the 5 measurements for inter</w:t>
      </w:r>
      <w:r w:rsidR="004A342B">
        <w:t>-</w:t>
      </w:r>
      <w:r w:rsidRPr="0023095A">
        <w:t>assay analysis.</w:t>
      </w:r>
    </w:p>
    <w:p w14:paraId="22640596" w14:textId="77777777" w:rsidR="001C332B" w:rsidRDefault="001C332B"/>
    <w:tbl>
      <w:tblPr>
        <w:tblStyle w:val="affff7"/>
        <w:tblW w:w="86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45"/>
        <w:gridCol w:w="1020"/>
        <w:gridCol w:w="1890"/>
        <w:gridCol w:w="960"/>
        <w:gridCol w:w="1755"/>
      </w:tblGrid>
      <w:tr w:rsidR="001C332B" w14:paraId="42045B76" w14:textId="77777777">
        <w:trPr>
          <w:trHeight w:val="227"/>
        </w:trPr>
        <w:tc>
          <w:tcPr>
            <w:tcW w:w="4065"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15" w:type="dxa"/>
              <w:bottom w:w="0" w:type="dxa"/>
              <w:right w:w="115" w:type="dxa"/>
            </w:tcMar>
          </w:tcPr>
          <w:p w14:paraId="72371F2F" w14:textId="77777777" w:rsidR="001C332B" w:rsidRDefault="0023095A">
            <w:pPr>
              <w:rPr>
                <w:b/>
              </w:rPr>
            </w:pPr>
            <w:r>
              <w:rPr>
                <w:b/>
              </w:rPr>
              <w:t>Median</w:t>
            </w:r>
            <w:r w:rsidR="008352E7">
              <w:rPr>
                <w:b/>
              </w:rPr>
              <w:t xml:space="preserve"> </w:t>
            </w:r>
            <w:proofErr w:type="spellStart"/>
            <w:r w:rsidR="008352E7">
              <w:rPr>
                <w:b/>
              </w:rPr>
              <w:t>sIgE</w:t>
            </w:r>
            <w:proofErr w:type="spellEnd"/>
            <w:r>
              <w:rPr>
                <w:b/>
              </w:rPr>
              <w:t xml:space="preserve"> range</w:t>
            </w:r>
            <w:r w:rsidR="008352E7">
              <w:rPr>
                <w:b/>
              </w:rPr>
              <w:t xml:space="preserve"> (</w:t>
            </w:r>
            <w:proofErr w:type="spellStart"/>
            <w:r w:rsidR="008352E7">
              <w:rPr>
                <w:b/>
              </w:rPr>
              <w:t>kU</w:t>
            </w:r>
            <w:r w:rsidR="008352E7" w:rsidRPr="0023095A">
              <w:rPr>
                <w:b/>
                <w:vertAlign w:val="subscript"/>
              </w:rPr>
              <w:t>A</w:t>
            </w:r>
            <w:proofErr w:type="spellEnd"/>
            <w:r w:rsidR="008352E7">
              <w:rPr>
                <w:b/>
              </w:rPr>
              <w:t>/L)</w:t>
            </w:r>
          </w:p>
        </w:tc>
        <w:tc>
          <w:tcPr>
            <w:tcW w:w="1890" w:type="dxa"/>
            <w:tcBorders>
              <w:top w:val="single" w:sz="4" w:space="0" w:color="000000"/>
              <w:left w:val="single" w:sz="4" w:space="0" w:color="000000"/>
              <w:bottom w:val="single" w:sz="4" w:space="0" w:color="000000"/>
              <w:right w:val="single" w:sz="4" w:space="0" w:color="000000"/>
            </w:tcBorders>
            <w:shd w:val="clear" w:color="auto" w:fill="D9D9D9"/>
            <w:tcMar>
              <w:top w:w="0" w:type="dxa"/>
              <w:left w:w="115" w:type="dxa"/>
              <w:bottom w:w="0" w:type="dxa"/>
              <w:right w:w="115" w:type="dxa"/>
            </w:tcMar>
            <w:vAlign w:val="center"/>
          </w:tcPr>
          <w:p w14:paraId="47B44A28" w14:textId="77777777" w:rsidR="00AA4295" w:rsidRPr="00AA4295" w:rsidRDefault="008352E7">
            <w:pPr>
              <w:jc w:val="center"/>
              <w:rPr>
                <w:b/>
                <w:sz w:val="22"/>
              </w:rPr>
            </w:pPr>
            <w:r w:rsidRPr="00AA4295">
              <w:rPr>
                <w:b/>
                <w:sz w:val="22"/>
              </w:rPr>
              <w:t xml:space="preserve">Median </w:t>
            </w:r>
          </w:p>
          <w:p w14:paraId="6A8DB293" w14:textId="77777777" w:rsidR="001C332B" w:rsidRPr="00AA4295" w:rsidRDefault="008352E7">
            <w:pPr>
              <w:jc w:val="center"/>
              <w:rPr>
                <w:b/>
                <w:sz w:val="22"/>
              </w:rPr>
            </w:pPr>
            <w:r w:rsidRPr="00AA4295">
              <w:rPr>
                <w:b/>
                <w:sz w:val="22"/>
              </w:rPr>
              <w:t>intra</w:t>
            </w:r>
            <w:r w:rsidR="004A342B" w:rsidRPr="00AA4295">
              <w:rPr>
                <w:b/>
                <w:sz w:val="22"/>
              </w:rPr>
              <w:t>-</w:t>
            </w:r>
            <w:r w:rsidRPr="00AA4295">
              <w:rPr>
                <w:b/>
                <w:sz w:val="22"/>
              </w:rPr>
              <w:t>assay CV, %</w:t>
            </w:r>
          </w:p>
          <w:p w14:paraId="5908ADA2" w14:textId="77777777" w:rsidR="001C332B" w:rsidRPr="00AA4295" w:rsidRDefault="008352E7">
            <w:pPr>
              <w:jc w:val="center"/>
              <w:rPr>
                <w:b/>
                <w:sz w:val="22"/>
              </w:rPr>
            </w:pPr>
            <w:r w:rsidRPr="00AA4295">
              <w:rPr>
                <w:b/>
                <w:sz w:val="22"/>
              </w:rPr>
              <w:t>(IQR)</w:t>
            </w:r>
          </w:p>
        </w:tc>
        <w:tc>
          <w:tcPr>
            <w:tcW w:w="960" w:type="dxa"/>
            <w:tcBorders>
              <w:top w:val="single" w:sz="4" w:space="0" w:color="000000"/>
              <w:left w:val="single" w:sz="4" w:space="0" w:color="000000"/>
              <w:bottom w:val="single" w:sz="4" w:space="0" w:color="000000"/>
              <w:right w:val="single" w:sz="4" w:space="0" w:color="000000"/>
            </w:tcBorders>
            <w:shd w:val="clear" w:color="auto" w:fill="D9D9D9"/>
          </w:tcPr>
          <w:p w14:paraId="3CF9FFD6" w14:textId="77777777" w:rsidR="001C332B" w:rsidRPr="00AA4295" w:rsidRDefault="001C332B">
            <w:pPr>
              <w:jc w:val="center"/>
              <w:rPr>
                <w:b/>
                <w:sz w:val="22"/>
              </w:rPr>
            </w:pPr>
          </w:p>
        </w:tc>
        <w:tc>
          <w:tcPr>
            <w:tcW w:w="1755" w:type="dxa"/>
            <w:tcBorders>
              <w:top w:val="single" w:sz="4" w:space="0" w:color="000000"/>
              <w:left w:val="single" w:sz="4" w:space="0" w:color="000000"/>
              <w:bottom w:val="single" w:sz="4" w:space="0" w:color="000000"/>
              <w:right w:val="single" w:sz="4" w:space="0" w:color="000000"/>
            </w:tcBorders>
            <w:shd w:val="clear" w:color="auto" w:fill="D9D9D9"/>
          </w:tcPr>
          <w:p w14:paraId="5DD8825E" w14:textId="77777777" w:rsidR="00AA4295" w:rsidRPr="00AA4295" w:rsidRDefault="008352E7">
            <w:pPr>
              <w:jc w:val="center"/>
              <w:rPr>
                <w:b/>
                <w:sz w:val="22"/>
              </w:rPr>
            </w:pPr>
            <w:r w:rsidRPr="00AA4295">
              <w:rPr>
                <w:b/>
                <w:sz w:val="22"/>
              </w:rPr>
              <w:t xml:space="preserve">Median </w:t>
            </w:r>
          </w:p>
          <w:p w14:paraId="560E30E1" w14:textId="77777777" w:rsidR="001C332B" w:rsidRPr="00AA4295" w:rsidRDefault="008352E7">
            <w:pPr>
              <w:jc w:val="center"/>
              <w:rPr>
                <w:b/>
                <w:sz w:val="22"/>
              </w:rPr>
            </w:pPr>
            <w:r w:rsidRPr="00AA4295">
              <w:rPr>
                <w:b/>
                <w:sz w:val="22"/>
              </w:rPr>
              <w:t>inter</w:t>
            </w:r>
            <w:r w:rsidR="004A342B" w:rsidRPr="00AA4295">
              <w:rPr>
                <w:b/>
                <w:sz w:val="22"/>
              </w:rPr>
              <w:t>-</w:t>
            </w:r>
            <w:r w:rsidRPr="00AA4295">
              <w:rPr>
                <w:b/>
                <w:sz w:val="22"/>
              </w:rPr>
              <w:t>assay CV, %</w:t>
            </w:r>
          </w:p>
          <w:p w14:paraId="797614AE" w14:textId="77777777" w:rsidR="001C332B" w:rsidRPr="00AA4295" w:rsidRDefault="008352E7">
            <w:pPr>
              <w:jc w:val="center"/>
              <w:rPr>
                <w:b/>
                <w:sz w:val="22"/>
              </w:rPr>
            </w:pPr>
            <w:r w:rsidRPr="00AA4295">
              <w:rPr>
                <w:b/>
                <w:sz w:val="22"/>
              </w:rPr>
              <w:t>(IQR)</w:t>
            </w:r>
          </w:p>
        </w:tc>
      </w:tr>
      <w:tr w:rsidR="001C332B" w14:paraId="3464E6BC" w14:textId="77777777">
        <w:trPr>
          <w:trHeight w:val="300"/>
        </w:trPr>
        <w:tc>
          <w:tcPr>
            <w:tcW w:w="304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3C358846" w14:textId="77777777" w:rsidR="001C332B" w:rsidRPr="0023095A" w:rsidRDefault="008352E7">
            <w:r w:rsidRPr="0023095A">
              <w:t xml:space="preserve">&lt;0.30 </w:t>
            </w:r>
          </w:p>
        </w:tc>
        <w:tc>
          <w:tcPr>
            <w:tcW w:w="102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6CB9A711" w14:textId="77777777" w:rsidR="001C332B" w:rsidRDefault="008352E7">
            <w:pPr>
              <w:jc w:val="center"/>
            </w:pPr>
            <w:r>
              <w:t>(N=12)</w:t>
            </w:r>
          </w:p>
        </w:tc>
        <w:tc>
          <w:tcPr>
            <w:tcW w:w="189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tcPr>
          <w:p w14:paraId="294B1583" w14:textId="77777777" w:rsidR="001C332B" w:rsidRDefault="001C332B">
            <w:pPr>
              <w:jc w:val="center"/>
            </w:pPr>
          </w:p>
        </w:tc>
        <w:tc>
          <w:tcPr>
            <w:tcW w:w="960" w:type="dxa"/>
            <w:tcBorders>
              <w:top w:val="single" w:sz="4" w:space="0" w:color="000000"/>
              <w:left w:val="single" w:sz="4" w:space="0" w:color="000000"/>
              <w:bottom w:val="single" w:sz="4" w:space="0" w:color="000000"/>
              <w:right w:val="single" w:sz="4" w:space="0" w:color="000000"/>
            </w:tcBorders>
            <w:shd w:val="clear" w:color="auto" w:fill="FFFFFF"/>
          </w:tcPr>
          <w:p w14:paraId="40851071" w14:textId="77777777" w:rsidR="001C332B" w:rsidRDefault="008352E7">
            <w:pPr>
              <w:jc w:val="center"/>
            </w:pPr>
            <w:r>
              <w:t>(N=11)</w:t>
            </w:r>
          </w:p>
        </w:tc>
        <w:tc>
          <w:tcPr>
            <w:tcW w:w="1755" w:type="dxa"/>
            <w:tcBorders>
              <w:top w:val="single" w:sz="4" w:space="0" w:color="000000"/>
              <w:left w:val="single" w:sz="4" w:space="0" w:color="000000"/>
              <w:bottom w:val="single" w:sz="4" w:space="0" w:color="000000"/>
              <w:right w:val="single" w:sz="4" w:space="0" w:color="000000"/>
            </w:tcBorders>
            <w:shd w:val="clear" w:color="auto" w:fill="FFFFFF"/>
          </w:tcPr>
          <w:p w14:paraId="4BD48E53" w14:textId="77777777" w:rsidR="001C332B" w:rsidRDefault="001C332B">
            <w:pPr>
              <w:jc w:val="center"/>
            </w:pPr>
          </w:p>
        </w:tc>
      </w:tr>
      <w:tr w:rsidR="001C332B" w14:paraId="3070BCF9" w14:textId="77777777">
        <w:trPr>
          <w:trHeight w:val="227"/>
        </w:trPr>
        <w:tc>
          <w:tcPr>
            <w:tcW w:w="304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1DF4994F" w14:textId="77777777" w:rsidR="001C332B" w:rsidRPr="0023095A" w:rsidRDefault="00F810E0">
            <w:sdt>
              <w:sdtPr>
                <w:tag w:val="goog_rdk_1"/>
                <w:id w:val="-1920165888"/>
              </w:sdtPr>
              <w:sdtEndPr/>
              <w:sdtContent>
                <w:r w:rsidR="008352E7" w:rsidRPr="0023095A">
                  <w:rPr>
                    <w:rFonts w:eastAsia="Gungsuh"/>
                  </w:rPr>
                  <w:t xml:space="preserve">≥0.30 - &lt;1 </w:t>
                </w:r>
              </w:sdtContent>
            </w:sdt>
          </w:p>
        </w:tc>
        <w:tc>
          <w:tcPr>
            <w:tcW w:w="102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4BAA2B76" w14:textId="77777777" w:rsidR="001C332B" w:rsidRDefault="008352E7">
            <w:pPr>
              <w:jc w:val="center"/>
            </w:pPr>
            <w:r>
              <w:t>(N=4)</w:t>
            </w:r>
          </w:p>
        </w:tc>
        <w:tc>
          <w:tcPr>
            <w:tcW w:w="189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tcPr>
          <w:p w14:paraId="5A523DCF" w14:textId="77777777" w:rsidR="001C332B" w:rsidRDefault="008352E7">
            <w:pPr>
              <w:jc w:val="center"/>
            </w:pPr>
            <w:r>
              <w:t>27.6</w:t>
            </w:r>
          </w:p>
          <w:p w14:paraId="201A1647" w14:textId="77777777" w:rsidR="001C332B" w:rsidRDefault="006E6B76" w:rsidP="006E6B76">
            <w:pPr>
              <w:jc w:val="center"/>
            </w:pPr>
            <w:r>
              <w:t>(23.7-</w:t>
            </w:r>
            <w:r w:rsidR="008352E7">
              <w:t>30.9)</w:t>
            </w:r>
          </w:p>
        </w:tc>
        <w:tc>
          <w:tcPr>
            <w:tcW w:w="960" w:type="dxa"/>
            <w:tcBorders>
              <w:top w:val="single" w:sz="4" w:space="0" w:color="000000"/>
              <w:left w:val="single" w:sz="4" w:space="0" w:color="000000"/>
              <w:bottom w:val="single" w:sz="4" w:space="0" w:color="000000"/>
              <w:right w:val="single" w:sz="4" w:space="0" w:color="000000"/>
            </w:tcBorders>
            <w:shd w:val="clear" w:color="auto" w:fill="FFFFFF"/>
          </w:tcPr>
          <w:p w14:paraId="23D560BC" w14:textId="77777777" w:rsidR="001C332B" w:rsidRDefault="008352E7">
            <w:pPr>
              <w:jc w:val="center"/>
            </w:pPr>
            <w:r>
              <w:t>(N=5)</w:t>
            </w:r>
          </w:p>
        </w:tc>
        <w:tc>
          <w:tcPr>
            <w:tcW w:w="1755" w:type="dxa"/>
            <w:tcBorders>
              <w:top w:val="single" w:sz="4" w:space="0" w:color="000000"/>
              <w:left w:val="single" w:sz="4" w:space="0" w:color="000000"/>
              <w:bottom w:val="single" w:sz="4" w:space="0" w:color="000000"/>
              <w:right w:val="single" w:sz="4" w:space="0" w:color="000000"/>
            </w:tcBorders>
            <w:shd w:val="clear" w:color="auto" w:fill="FFFFFF"/>
          </w:tcPr>
          <w:p w14:paraId="4BECD5F3" w14:textId="77777777" w:rsidR="001C332B" w:rsidRDefault="008352E7">
            <w:pPr>
              <w:jc w:val="center"/>
            </w:pPr>
            <w:r>
              <w:t>39.1</w:t>
            </w:r>
          </w:p>
          <w:p w14:paraId="57D8BA52" w14:textId="77777777" w:rsidR="001C332B" w:rsidRDefault="006E6B76">
            <w:pPr>
              <w:jc w:val="center"/>
            </w:pPr>
            <w:r>
              <w:t>(14.4-</w:t>
            </w:r>
            <w:r w:rsidR="008352E7">
              <w:t>93.4)</w:t>
            </w:r>
          </w:p>
        </w:tc>
      </w:tr>
      <w:tr w:rsidR="001C332B" w14:paraId="44BFC903" w14:textId="77777777">
        <w:trPr>
          <w:trHeight w:val="227"/>
        </w:trPr>
        <w:tc>
          <w:tcPr>
            <w:tcW w:w="304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700E667C" w14:textId="77777777" w:rsidR="001C332B" w:rsidRPr="0023095A" w:rsidRDefault="00F810E0">
            <w:sdt>
              <w:sdtPr>
                <w:tag w:val="goog_rdk_2"/>
                <w:id w:val="-1508978170"/>
              </w:sdtPr>
              <w:sdtEndPr/>
              <w:sdtContent>
                <w:r w:rsidR="008352E7" w:rsidRPr="0023095A">
                  <w:rPr>
                    <w:rFonts w:eastAsia="Gungsuh"/>
                  </w:rPr>
                  <w:t xml:space="preserve">≥1 - &lt;10 </w:t>
                </w:r>
              </w:sdtContent>
            </w:sdt>
          </w:p>
        </w:tc>
        <w:tc>
          <w:tcPr>
            <w:tcW w:w="102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737E8E91" w14:textId="77777777" w:rsidR="001C332B" w:rsidRDefault="008352E7">
            <w:pPr>
              <w:jc w:val="center"/>
            </w:pPr>
            <w:r>
              <w:t>(N=16)</w:t>
            </w:r>
          </w:p>
        </w:tc>
        <w:tc>
          <w:tcPr>
            <w:tcW w:w="189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tcPr>
          <w:p w14:paraId="593043B1" w14:textId="77777777" w:rsidR="001C332B" w:rsidRDefault="008352E7">
            <w:pPr>
              <w:jc w:val="center"/>
            </w:pPr>
            <w:r>
              <w:t>6.5</w:t>
            </w:r>
          </w:p>
          <w:p w14:paraId="2BA1B03F" w14:textId="77777777" w:rsidR="001C332B" w:rsidRDefault="006E6B76">
            <w:pPr>
              <w:jc w:val="center"/>
            </w:pPr>
            <w:r>
              <w:t>(5.1-</w:t>
            </w:r>
            <w:r w:rsidR="008352E7">
              <w:t>8.2)</w:t>
            </w:r>
          </w:p>
        </w:tc>
        <w:tc>
          <w:tcPr>
            <w:tcW w:w="960" w:type="dxa"/>
            <w:tcBorders>
              <w:top w:val="single" w:sz="4" w:space="0" w:color="000000"/>
              <w:left w:val="single" w:sz="4" w:space="0" w:color="000000"/>
              <w:bottom w:val="single" w:sz="4" w:space="0" w:color="000000"/>
              <w:right w:val="single" w:sz="4" w:space="0" w:color="000000"/>
            </w:tcBorders>
            <w:shd w:val="clear" w:color="auto" w:fill="FFFFFF"/>
          </w:tcPr>
          <w:p w14:paraId="74F33DA5" w14:textId="77777777" w:rsidR="001C332B" w:rsidRDefault="008352E7">
            <w:pPr>
              <w:jc w:val="center"/>
            </w:pPr>
            <w:r>
              <w:t>(N=15)</w:t>
            </w:r>
          </w:p>
        </w:tc>
        <w:tc>
          <w:tcPr>
            <w:tcW w:w="1755" w:type="dxa"/>
            <w:tcBorders>
              <w:top w:val="single" w:sz="4" w:space="0" w:color="000000"/>
              <w:left w:val="single" w:sz="4" w:space="0" w:color="000000"/>
              <w:bottom w:val="single" w:sz="4" w:space="0" w:color="000000"/>
              <w:right w:val="single" w:sz="4" w:space="0" w:color="000000"/>
            </w:tcBorders>
            <w:shd w:val="clear" w:color="auto" w:fill="FFFFFF"/>
          </w:tcPr>
          <w:p w14:paraId="3290DE33" w14:textId="77777777" w:rsidR="001C332B" w:rsidRDefault="008352E7">
            <w:pPr>
              <w:jc w:val="center"/>
            </w:pPr>
            <w:r>
              <w:t>11</w:t>
            </w:r>
          </w:p>
          <w:p w14:paraId="7AA91CB8" w14:textId="77777777" w:rsidR="001C332B" w:rsidRDefault="006E6B76">
            <w:pPr>
              <w:jc w:val="center"/>
            </w:pPr>
            <w:r>
              <w:t>(8.5-</w:t>
            </w:r>
            <w:r w:rsidR="008352E7">
              <w:t>14.9)</w:t>
            </w:r>
          </w:p>
        </w:tc>
      </w:tr>
      <w:tr w:rsidR="001C332B" w14:paraId="01E44575" w14:textId="77777777">
        <w:trPr>
          <w:trHeight w:val="227"/>
        </w:trPr>
        <w:tc>
          <w:tcPr>
            <w:tcW w:w="304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0C8F4FD6" w14:textId="77777777" w:rsidR="001C332B" w:rsidRPr="0023095A" w:rsidRDefault="00F810E0">
            <w:sdt>
              <w:sdtPr>
                <w:tag w:val="goog_rdk_3"/>
                <w:id w:val="-1812090507"/>
              </w:sdtPr>
              <w:sdtEndPr/>
              <w:sdtContent>
                <w:r w:rsidR="008352E7" w:rsidRPr="0023095A">
                  <w:rPr>
                    <w:rFonts w:eastAsia="Gungsuh"/>
                  </w:rPr>
                  <w:t xml:space="preserve">≥10 </w:t>
                </w:r>
              </w:sdtContent>
            </w:sdt>
          </w:p>
        </w:tc>
        <w:tc>
          <w:tcPr>
            <w:tcW w:w="102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70F66CC0" w14:textId="77777777" w:rsidR="001C332B" w:rsidRDefault="008352E7">
            <w:pPr>
              <w:jc w:val="center"/>
            </w:pPr>
            <w:r>
              <w:t>(N=12)</w:t>
            </w:r>
          </w:p>
        </w:tc>
        <w:tc>
          <w:tcPr>
            <w:tcW w:w="189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tcPr>
          <w:p w14:paraId="38B701CE" w14:textId="77777777" w:rsidR="001C332B" w:rsidRDefault="008352E7">
            <w:pPr>
              <w:jc w:val="center"/>
            </w:pPr>
            <w:r>
              <w:t>4.5</w:t>
            </w:r>
          </w:p>
          <w:p w14:paraId="5FCCFFA5" w14:textId="77777777" w:rsidR="001C332B" w:rsidRDefault="006E6B76">
            <w:pPr>
              <w:jc w:val="center"/>
            </w:pPr>
            <w:r>
              <w:t>(3.1-</w:t>
            </w:r>
            <w:r w:rsidR="008352E7">
              <w:t>7.1)</w:t>
            </w:r>
          </w:p>
        </w:tc>
        <w:tc>
          <w:tcPr>
            <w:tcW w:w="960" w:type="dxa"/>
            <w:tcBorders>
              <w:top w:val="single" w:sz="4" w:space="0" w:color="000000"/>
              <w:left w:val="single" w:sz="4" w:space="0" w:color="000000"/>
              <w:bottom w:val="single" w:sz="4" w:space="0" w:color="000000"/>
              <w:right w:val="single" w:sz="4" w:space="0" w:color="000000"/>
            </w:tcBorders>
            <w:shd w:val="clear" w:color="auto" w:fill="FFFFFF"/>
          </w:tcPr>
          <w:p w14:paraId="5678458A" w14:textId="77777777" w:rsidR="001C332B" w:rsidRDefault="008352E7">
            <w:pPr>
              <w:jc w:val="center"/>
            </w:pPr>
            <w:r>
              <w:t>(N=13)</w:t>
            </w:r>
          </w:p>
        </w:tc>
        <w:tc>
          <w:tcPr>
            <w:tcW w:w="1755" w:type="dxa"/>
            <w:tcBorders>
              <w:top w:val="single" w:sz="4" w:space="0" w:color="000000"/>
              <w:left w:val="single" w:sz="4" w:space="0" w:color="000000"/>
              <w:bottom w:val="single" w:sz="4" w:space="0" w:color="000000"/>
              <w:right w:val="single" w:sz="4" w:space="0" w:color="000000"/>
            </w:tcBorders>
            <w:shd w:val="clear" w:color="auto" w:fill="FFFFFF"/>
          </w:tcPr>
          <w:p w14:paraId="5F10AED9" w14:textId="77777777" w:rsidR="001C332B" w:rsidRDefault="008352E7">
            <w:pPr>
              <w:jc w:val="center"/>
            </w:pPr>
            <w:r>
              <w:t>8.1</w:t>
            </w:r>
          </w:p>
          <w:p w14:paraId="1E10B45E" w14:textId="77777777" w:rsidR="001C332B" w:rsidRDefault="006E6B76">
            <w:pPr>
              <w:jc w:val="center"/>
            </w:pPr>
            <w:r>
              <w:t>(7.2-</w:t>
            </w:r>
            <w:r w:rsidR="008352E7">
              <w:t>14.4)</w:t>
            </w:r>
          </w:p>
        </w:tc>
      </w:tr>
    </w:tbl>
    <w:p w14:paraId="2D493BAC" w14:textId="77777777" w:rsidR="001C332B" w:rsidRDefault="001C332B"/>
    <w:p w14:paraId="6D8308BB" w14:textId="77777777" w:rsidR="001C332B" w:rsidRDefault="008352E7" w:rsidP="006E6B76">
      <w:r>
        <w:br w:type="page"/>
      </w:r>
    </w:p>
    <w:p w14:paraId="56F2D735" w14:textId="77777777" w:rsidR="001C332B" w:rsidRDefault="008352E7">
      <w:pPr>
        <w:jc w:val="both"/>
      </w:pPr>
      <w:r>
        <w:rPr>
          <w:b/>
        </w:rPr>
        <w:lastRenderedPageBreak/>
        <w:t>Table V</w:t>
      </w:r>
      <w:r>
        <w:t>. Inter</w:t>
      </w:r>
      <w:r w:rsidR="004A342B">
        <w:t>-</w:t>
      </w:r>
      <w:r>
        <w:t>assay (N=5 determinations), inter</w:t>
      </w:r>
      <w:r w:rsidR="004A342B">
        <w:t>-</w:t>
      </w:r>
      <w:r>
        <w:t>batch (N=2 determinations) and inter</w:t>
      </w:r>
      <w:r w:rsidR="004A342B">
        <w:t>-</w:t>
      </w:r>
      <w:r>
        <w:t xml:space="preserve">lab (N=2 determinations) intraclass coefficient of variability (ICC) obtained with a pool of sera and 9 samples for the 44 allergens evaluated. Negative mean </w:t>
      </w:r>
      <w:proofErr w:type="spellStart"/>
      <w:r>
        <w:t>sIgE</w:t>
      </w:r>
      <w:proofErr w:type="spellEnd"/>
      <w:r w:rsidR="0023095A">
        <w:t xml:space="preserve"> values</w:t>
      </w:r>
      <w:r>
        <w:t xml:space="preserve"> in all the samples of the analysis (below 0.30 </w:t>
      </w:r>
      <w:proofErr w:type="spellStart"/>
      <w:r>
        <w:t>kU</w:t>
      </w:r>
      <w:r>
        <w:rPr>
          <w:vertAlign w:val="subscript"/>
        </w:rPr>
        <w:t>A</w:t>
      </w:r>
      <w:proofErr w:type="spellEnd"/>
      <w:r>
        <w:t>/L) are marked with a cross (</w:t>
      </w:r>
      <w:r>
        <w:rPr>
          <w:rFonts w:ascii="Arial" w:eastAsia="Arial" w:hAnsi="Arial" w:cs="Arial"/>
          <w:color w:val="1C1D1E"/>
          <w:sz w:val="21"/>
          <w:szCs w:val="21"/>
          <w:highlight w:val="white"/>
        </w:rPr>
        <w:t>†</w:t>
      </w:r>
      <w:r>
        <w:t xml:space="preserve">). ICCs below 0.7 </w:t>
      </w:r>
      <w:r w:rsidR="00C0056E">
        <w:t xml:space="preserve">for allergens </w:t>
      </w:r>
      <w:r>
        <w:t xml:space="preserve">showing positive mean </w:t>
      </w:r>
      <w:proofErr w:type="spellStart"/>
      <w:r>
        <w:t>sIgE</w:t>
      </w:r>
      <w:proofErr w:type="spellEnd"/>
      <w:r>
        <w:t xml:space="preserve"> are marked in bold.</w:t>
      </w:r>
    </w:p>
    <w:p w14:paraId="3D36EE09" w14:textId="77777777" w:rsidR="001C332B" w:rsidRDefault="001C332B">
      <w:pPr>
        <w:jc w:val="both"/>
      </w:pPr>
    </w:p>
    <w:tbl>
      <w:tblPr>
        <w:tblStyle w:val="affff8"/>
        <w:tblW w:w="907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10"/>
        <w:gridCol w:w="2025"/>
        <w:gridCol w:w="1725"/>
        <w:gridCol w:w="1575"/>
        <w:gridCol w:w="1440"/>
      </w:tblGrid>
      <w:tr w:rsidR="001C332B" w14:paraId="3F16B732" w14:textId="77777777">
        <w:tc>
          <w:tcPr>
            <w:tcW w:w="4335"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15" w:type="dxa"/>
              <w:bottom w:w="0" w:type="dxa"/>
              <w:right w:w="115" w:type="dxa"/>
            </w:tcMar>
          </w:tcPr>
          <w:p w14:paraId="7F56AAAE" w14:textId="77777777" w:rsidR="001C332B" w:rsidRDefault="008352E7">
            <w:r>
              <w:rPr>
                <w:b/>
              </w:rPr>
              <w:t>Allergen</w:t>
            </w:r>
          </w:p>
        </w:tc>
        <w:tc>
          <w:tcPr>
            <w:tcW w:w="1725" w:type="dxa"/>
            <w:tcBorders>
              <w:top w:val="single" w:sz="4" w:space="0" w:color="000000"/>
              <w:left w:val="single" w:sz="4" w:space="0" w:color="000000"/>
              <w:bottom w:val="single" w:sz="4" w:space="0" w:color="000000"/>
              <w:right w:val="single" w:sz="4" w:space="0" w:color="000000"/>
            </w:tcBorders>
            <w:shd w:val="clear" w:color="auto" w:fill="D9D9D9"/>
            <w:tcMar>
              <w:top w:w="0" w:type="dxa"/>
              <w:left w:w="115" w:type="dxa"/>
              <w:bottom w:w="0" w:type="dxa"/>
              <w:right w:w="115" w:type="dxa"/>
            </w:tcMar>
            <w:vAlign w:val="center"/>
          </w:tcPr>
          <w:p w14:paraId="3ADEC621" w14:textId="77777777" w:rsidR="001C332B" w:rsidRDefault="008352E7">
            <w:pPr>
              <w:jc w:val="center"/>
              <w:rPr>
                <w:b/>
              </w:rPr>
            </w:pPr>
            <w:r>
              <w:rPr>
                <w:b/>
              </w:rPr>
              <w:t>Inter</w:t>
            </w:r>
            <w:r w:rsidR="004A342B">
              <w:rPr>
                <w:b/>
              </w:rPr>
              <w:t>-</w:t>
            </w:r>
            <w:r>
              <w:rPr>
                <w:b/>
              </w:rPr>
              <w:t>assay ICC</w:t>
            </w:r>
          </w:p>
        </w:tc>
        <w:tc>
          <w:tcPr>
            <w:tcW w:w="1575" w:type="dxa"/>
            <w:tcBorders>
              <w:top w:val="single" w:sz="4" w:space="0" w:color="000000"/>
              <w:left w:val="single" w:sz="4" w:space="0" w:color="000000"/>
              <w:bottom w:val="single" w:sz="4" w:space="0" w:color="000000"/>
              <w:right w:val="single" w:sz="4" w:space="0" w:color="000000"/>
            </w:tcBorders>
            <w:shd w:val="clear" w:color="auto" w:fill="D9D9D9"/>
          </w:tcPr>
          <w:p w14:paraId="0F63AFA4" w14:textId="77777777" w:rsidR="001C332B" w:rsidRDefault="008352E7">
            <w:pPr>
              <w:jc w:val="center"/>
              <w:rPr>
                <w:b/>
              </w:rPr>
            </w:pPr>
            <w:r>
              <w:rPr>
                <w:b/>
              </w:rPr>
              <w:t>Inter</w:t>
            </w:r>
            <w:r w:rsidR="004A342B">
              <w:rPr>
                <w:b/>
              </w:rPr>
              <w:t>-</w:t>
            </w:r>
            <w:r>
              <w:rPr>
                <w:b/>
              </w:rPr>
              <w:t>batch ICC</w:t>
            </w:r>
          </w:p>
        </w:tc>
        <w:tc>
          <w:tcPr>
            <w:tcW w:w="1440" w:type="dxa"/>
            <w:tcBorders>
              <w:top w:val="single" w:sz="4" w:space="0" w:color="000000"/>
              <w:left w:val="single" w:sz="4" w:space="0" w:color="000000"/>
              <w:bottom w:val="single" w:sz="4" w:space="0" w:color="000000"/>
              <w:right w:val="single" w:sz="4" w:space="0" w:color="000000"/>
            </w:tcBorders>
            <w:shd w:val="clear" w:color="auto" w:fill="D9D9D9"/>
          </w:tcPr>
          <w:p w14:paraId="7E55DD46" w14:textId="77777777" w:rsidR="001C332B" w:rsidRDefault="008352E7">
            <w:pPr>
              <w:jc w:val="center"/>
              <w:rPr>
                <w:b/>
              </w:rPr>
            </w:pPr>
            <w:r>
              <w:rPr>
                <w:b/>
              </w:rPr>
              <w:t>Inter</w:t>
            </w:r>
            <w:r w:rsidR="004A342B">
              <w:rPr>
                <w:b/>
              </w:rPr>
              <w:t>-</w:t>
            </w:r>
            <w:r>
              <w:rPr>
                <w:b/>
              </w:rPr>
              <w:t>lab ICC</w:t>
            </w:r>
          </w:p>
        </w:tc>
      </w:tr>
      <w:tr w:rsidR="001C332B" w14:paraId="5E5370E5" w14:textId="77777777">
        <w:trPr>
          <w:trHeight w:val="227"/>
        </w:trPr>
        <w:tc>
          <w:tcPr>
            <w:tcW w:w="23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657EE13D" w14:textId="77777777" w:rsidR="001C332B" w:rsidRDefault="008352E7">
            <w:pPr>
              <w:rPr>
                <w:b/>
              </w:rPr>
            </w:pPr>
            <w:r>
              <w:rPr>
                <w:b/>
              </w:rPr>
              <w:t>Cypress pollen</w:t>
            </w:r>
          </w:p>
        </w:tc>
        <w:tc>
          <w:tcPr>
            <w:tcW w:w="2025" w:type="dxa"/>
            <w:tcBorders>
              <w:top w:val="single" w:sz="4" w:space="0" w:color="000000"/>
              <w:left w:val="single" w:sz="4" w:space="0" w:color="000000"/>
              <w:bottom w:val="single" w:sz="4" w:space="0" w:color="000000"/>
              <w:right w:val="single" w:sz="4" w:space="0" w:color="000000"/>
            </w:tcBorders>
            <w:shd w:val="clear" w:color="auto" w:fill="E7E6E6"/>
            <w:tcMar>
              <w:top w:w="0" w:type="dxa"/>
              <w:left w:w="115" w:type="dxa"/>
              <w:bottom w:w="0" w:type="dxa"/>
              <w:right w:w="115" w:type="dxa"/>
            </w:tcMar>
          </w:tcPr>
          <w:p w14:paraId="4F93C676" w14:textId="77777777" w:rsidR="001C332B" w:rsidRDefault="008352E7">
            <w:r>
              <w:rPr>
                <w:b/>
              </w:rPr>
              <w:t>Cup a 1</w:t>
            </w:r>
          </w:p>
        </w:tc>
        <w:tc>
          <w:tcPr>
            <w:tcW w:w="172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vAlign w:val="center"/>
          </w:tcPr>
          <w:p w14:paraId="73318CE2" w14:textId="77777777" w:rsidR="001C332B" w:rsidRDefault="008352E7">
            <w:pPr>
              <w:jc w:val="center"/>
            </w:pPr>
            <w:r>
              <w:t>0.996</w:t>
            </w:r>
          </w:p>
        </w:tc>
        <w:tc>
          <w:tcPr>
            <w:tcW w:w="1575" w:type="dxa"/>
            <w:tcBorders>
              <w:top w:val="single" w:sz="4" w:space="0" w:color="000000"/>
              <w:left w:val="single" w:sz="4" w:space="0" w:color="000000"/>
              <w:bottom w:val="single" w:sz="4" w:space="0" w:color="000000"/>
              <w:right w:val="single" w:sz="4" w:space="0" w:color="000000"/>
            </w:tcBorders>
            <w:shd w:val="clear" w:color="auto" w:fill="FFFFFF"/>
          </w:tcPr>
          <w:p w14:paraId="4EF6A925" w14:textId="77777777" w:rsidR="001C332B" w:rsidRDefault="008352E7">
            <w:pPr>
              <w:jc w:val="center"/>
            </w:pPr>
            <w:r>
              <w:t>0.998</w:t>
            </w:r>
          </w:p>
        </w:tc>
        <w:tc>
          <w:tcPr>
            <w:tcW w:w="144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14:paraId="67C3D1C5" w14:textId="77777777" w:rsidR="001C332B" w:rsidRDefault="008352E7">
            <w:pPr>
              <w:jc w:val="center"/>
            </w:pPr>
            <w:r>
              <w:t>1</w:t>
            </w:r>
          </w:p>
        </w:tc>
      </w:tr>
      <w:tr w:rsidR="001C332B" w14:paraId="468B899F" w14:textId="77777777">
        <w:trPr>
          <w:trHeight w:val="227"/>
        </w:trPr>
        <w:tc>
          <w:tcPr>
            <w:tcW w:w="2310"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421EE479" w14:textId="77777777" w:rsidR="001C332B" w:rsidRDefault="008352E7">
            <w:pPr>
              <w:rPr>
                <w:i/>
              </w:rPr>
            </w:pPr>
            <w:r>
              <w:rPr>
                <w:b/>
              </w:rPr>
              <w:t xml:space="preserve">Grass pollen </w:t>
            </w:r>
            <w:r>
              <w:rPr>
                <w:b/>
                <w:i/>
              </w:rPr>
              <w:t>(Phleum pratense)</w:t>
            </w:r>
          </w:p>
        </w:tc>
        <w:tc>
          <w:tcPr>
            <w:tcW w:w="2025" w:type="dxa"/>
            <w:tcBorders>
              <w:top w:val="single" w:sz="4" w:space="0" w:color="000000"/>
              <w:left w:val="single" w:sz="4" w:space="0" w:color="000000"/>
              <w:bottom w:val="single" w:sz="4" w:space="0" w:color="000000"/>
              <w:right w:val="single" w:sz="4" w:space="0" w:color="000000"/>
            </w:tcBorders>
            <w:shd w:val="clear" w:color="auto" w:fill="E7E6E6"/>
            <w:tcMar>
              <w:top w:w="0" w:type="dxa"/>
              <w:left w:w="115" w:type="dxa"/>
              <w:bottom w:w="0" w:type="dxa"/>
              <w:right w:w="115" w:type="dxa"/>
            </w:tcMar>
          </w:tcPr>
          <w:p w14:paraId="362FC349" w14:textId="77777777" w:rsidR="001C332B" w:rsidRDefault="008352E7">
            <w:proofErr w:type="spellStart"/>
            <w:r>
              <w:rPr>
                <w:b/>
              </w:rPr>
              <w:t>Phl</w:t>
            </w:r>
            <w:proofErr w:type="spellEnd"/>
            <w:r>
              <w:rPr>
                <w:b/>
              </w:rPr>
              <w:t xml:space="preserve"> p 1</w:t>
            </w:r>
          </w:p>
        </w:tc>
        <w:tc>
          <w:tcPr>
            <w:tcW w:w="1725"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vAlign w:val="bottom"/>
          </w:tcPr>
          <w:p w14:paraId="61638C60" w14:textId="77777777" w:rsidR="001C332B" w:rsidRDefault="008352E7">
            <w:pPr>
              <w:jc w:val="center"/>
            </w:pPr>
            <w:r>
              <w:t>0.995</w:t>
            </w:r>
          </w:p>
        </w:tc>
        <w:tc>
          <w:tcPr>
            <w:tcW w:w="1575" w:type="dxa"/>
            <w:tcBorders>
              <w:top w:val="single" w:sz="4" w:space="0" w:color="000000"/>
              <w:left w:val="single" w:sz="4" w:space="0" w:color="000000"/>
              <w:bottom w:val="single" w:sz="4" w:space="0" w:color="000000"/>
              <w:right w:val="single" w:sz="4" w:space="0" w:color="000000"/>
            </w:tcBorders>
          </w:tcPr>
          <w:p w14:paraId="430D3C4E" w14:textId="77777777" w:rsidR="001C332B" w:rsidRDefault="008352E7">
            <w:pPr>
              <w:jc w:val="center"/>
            </w:pPr>
            <w:r>
              <w:t>0.965</w:t>
            </w:r>
          </w:p>
        </w:tc>
        <w:tc>
          <w:tcPr>
            <w:tcW w:w="144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14:paraId="6DCF58B8" w14:textId="77777777" w:rsidR="001C332B" w:rsidRDefault="008352E7">
            <w:pPr>
              <w:jc w:val="center"/>
            </w:pPr>
            <w:r>
              <w:t>0.99</w:t>
            </w:r>
          </w:p>
        </w:tc>
      </w:tr>
      <w:tr w:rsidR="001C332B" w14:paraId="21B7B9E4" w14:textId="77777777">
        <w:trPr>
          <w:trHeight w:val="227"/>
        </w:trPr>
        <w:tc>
          <w:tcPr>
            <w:tcW w:w="2310"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722B7F7C" w14:textId="77777777" w:rsidR="001C332B" w:rsidRDefault="001C332B">
            <w:pPr>
              <w:widowControl w:val="0"/>
              <w:spacing w:line="276" w:lineRule="auto"/>
            </w:pPr>
          </w:p>
        </w:tc>
        <w:tc>
          <w:tcPr>
            <w:tcW w:w="2025" w:type="dxa"/>
            <w:tcBorders>
              <w:top w:val="single" w:sz="4" w:space="0" w:color="000000"/>
              <w:left w:val="single" w:sz="4" w:space="0" w:color="000000"/>
              <w:bottom w:val="single" w:sz="4" w:space="0" w:color="000000"/>
              <w:right w:val="single" w:sz="4" w:space="0" w:color="000000"/>
            </w:tcBorders>
            <w:shd w:val="clear" w:color="auto" w:fill="E7E6E6"/>
            <w:tcMar>
              <w:top w:w="0" w:type="dxa"/>
              <w:left w:w="115" w:type="dxa"/>
              <w:bottom w:w="0" w:type="dxa"/>
              <w:right w:w="115" w:type="dxa"/>
            </w:tcMar>
          </w:tcPr>
          <w:p w14:paraId="09C6B960" w14:textId="77777777" w:rsidR="001C332B" w:rsidRDefault="008352E7">
            <w:proofErr w:type="spellStart"/>
            <w:r>
              <w:rPr>
                <w:b/>
              </w:rPr>
              <w:t>Phl</w:t>
            </w:r>
            <w:proofErr w:type="spellEnd"/>
            <w:r>
              <w:rPr>
                <w:b/>
              </w:rPr>
              <w:t xml:space="preserve"> p 2</w:t>
            </w:r>
          </w:p>
        </w:tc>
        <w:tc>
          <w:tcPr>
            <w:tcW w:w="1725"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vAlign w:val="bottom"/>
          </w:tcPr>
          <w:p w14:paraId="27C25F22" w14:textId="77777777" w:rsidR="001C332B" w:rsidRDefault="008352E7">
            <w:pPr>
              <w:jc w:val="center"/>
            </w:pPr>
            <w:r>
              <w:t>0.993</w:t>
            </w:r>
          </w:p>
        </w:tc>
        <w:tc>
          <w:tcPr>
            <w:tcW w:w="1575" w:type="dxa"/>
            <w:tcBorders>
              <w:top w:val="single" w:sz="4" w:space="0" w:color="000000"/>
              <w:left w:val="single" w:sz="4" w:space="0" w:color="000000"/>
              <w:bottom w:val="single" w:sz="4" w:space="0" w:color="000000"/>
              <w:right w:val="single" w:sz="4" w:space="0" w:color="000000"/>
            </w:tcBorders>
          </w:tcPr>
          <w:p w14:paraId="66C86B39" w14:textId="77777777" w:rsidR="001C332B" w:rsidRDefault="008352E7">
            <w:pPr>
              <w:jc w:val="center"/>
            </w:pPr>
            <w:r>
              <w:t>0.996</w:t>
            </w:r>
          </w:p>
        </w:tc>
        <w:tc>
          <w:tcPr>
            <w:tcW w:w="144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14:paraId="31C65BAD" w14:textId="77777777" w:rsidR="001C332B" w:rsidRDefault="008352E7">
            <w:pPr>
              <w:jc w:val="center"/>
            </w:pPr>
            <w:r>
              <w:t>0.999</w:t>
            </w:r>
          </w:p>
        </w:tc>
      </w:tr>
      <w:tr w:rsidR="001C332B" w14:paraId="39C36D21" w14:textId="77777777">
        <w:trPr>
          <w:trHeight w:val="227"/>
        </w:trPr>
        <w:tc>
          <w:tcPr>
            <w:tcW w:w="2310"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20632297" w14:textId="77777777" w:rsidR="001C332B" w:rsidRDefault="001C332B">
            <w:pPr>
              <w:widowControl w:val="0"/>
              <w:spacing w:line="276" w:lineRule="auto"/>
            </w:pPr>
          </w:p>
        </w:tc>
        <w:tc>
          <w:tcPr>
            <w:tcW w:w="2025" w:type="dxa"/>
            <w:tcBorders>
              <w:top w:val="single" w:sz="4" w:space="0" w:color="000000"/>
              <w:left w:val="single" w:sz="4" w:space="0" w:color="000000"/>
              <w:bottom w:val="single" w:sz="4" w:space="0" w:color="000000"/>
              <w:right w:val="single" w:sz="4" w:space="0" w:color="000000"/>
            </w:tcBorders>
            <w:shd w:val="clear" w:color="auto" w:fill="E7E6E6"/>
            <w:tcMar>
              <w:top w:w="0" w:type="dxa"/>
              <w:left w:w="115" w:type="dxa"/>
              <w:bottom w:w="0" w:type="dxa"/>
              <w:right w:w="115" w:type="dxa"/>
            </w:tcMar>
          </w:tcPr>
          <w:p w14:paraId="1632CEA1" w14:textId="77777777" w:rsidR="001C332B" w:rsidRDefault="008352E7">
            <w:proofErr w:type="spellStart"/>
            <w:r>
              <w:rPr>
                <w:b/>
              </w:rPr>
              <w:t>Phl</w:t>
            </w:r>
            <w:proofErr w:type="spellEnd"/>
            <w:r>
              <w:rPr>
                <w:b/>
              </w:rPr>
              <w:t xml:space="preserve"> p 5.0101</w:t>
            </w:r>
          </w:p>
        </w:tc>
        <w:tc>
          <w:tcPr>
            <w:tcW w:w="1725"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vAlign w:val="bottom"/>
          </w:tcPr>
          <w:p w14:paraId="362DACD0" w14:textId="77777777" w:rsidR="001C332B" w:rsidRDefault="008352E7">
            <w:pPr>
              <w:jc w:val="center"/>
            </w:pPr>
            <w:r>
              <w:t>0.973</w:t>
            </w:r>
          </w:p>
        </w:tc>
        <w:tc>
          <w:tcPr>
            <w:tcW w:w="1575" w:type="dxa"/>
            <w:tcBorders>
              <w:top w:val="single" w:sz="4" w:space="0" w:color="000000"/>
              <w:left w:val="single" w:sz="4" w:space="0" w:color="000000"/>
              <w:bottom w:val="single" w:sz="4" w:space="0" w:color="000000"/>
              <w:right w:val="single" w:sz="4" w:space="0" w:color="000000"/>
            </w:tcBorders>
          </w:tcPr>
          <w:p w14:paraId="114B757E" w14:textId="77777777" w:rsidR="001C332B" w:rsidRDefault="008352E7">
            <w:pPr>
              <w:jc w:val="center"/>
            </w:pPr>
            <w:r>
              <w:t>0.977</w:t>
            </w:r>
          </w:p>
        </w:tc>
        <w:tc>
          <w:tcPr>
            <w:tcW w:w="144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14:paraId="16E712A8" w14:textId="77777777" w:rsidR="001C332B" w:rsidRDefault="008352E7">
            <w:pPr>
              <w:jc w:val="center"/>
            </w:pPr>
            <w:r>
              <w:t>0.992</w:t>
            </w:r>
          </w:p>
        </w:tc>
      </w:tr>
      <w:tr w:rsidR="001C332B" w14:paraId="57D81416" w14:textId="77777777">
        <w:trPr>
          <w:trHeight w:val="227"/>
        </w:trPr>
        <w:tc>
          <w:tcPr>
            <w:tcW w:w="2310"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193E6A60" w14:textId="77777777" w:rsidR="001C332B" w:rsidRDefault="001C332B">
            <w:pPr>
              <w:widowControl w:val="0"/>
              <w:spacing w:line="276" w:lineRule="auto"/>
            </w:pPr>
          </w:p>
        </w:tc>
        <w:tc>
          <w:tcPr>
            <w:tcW w:w="2025" w:type="dxa"/>
            <w:tcBorders>
              <w:top w:val="single" w:sz="4" w:space="0" w:color="000000"/>
              <w:left w:val="single" w:sz="4" w:space="0" w:color="000000"/>
              <w:bottom w:val="single" w:sz="4" w:space="0" w:color="000000"/>
              <w:right w:val="single" w:sz="4" w:space="0" w:color="000000"/>
            </w:tcBorders>
            <w:shd w:val="clear" w:color="auto" w:fill="E7E6E6"/>
            <w:tcMar>
              <w:top w:w="0" w:type="dxa"/>
              <w:left w:w="115" w:type="dxa"/>
              <w:bottom w:w="0" w:type="dxa"/>
              <w:right w:w="115" w:type="dxa"/>
            </w:tcMar>
          </w:tcPr>
          <w:p w14:paraId="0A83A11F" w14:textId="77777777" w:rsidR="001C332B" w:rsidRDefault="008352E7">
            <w:proofErr w:type="spellStart"/>
            <w:r>
              <w:rPr>
                <w:b/>
              </w:rPr>
              <w:t>Phl</w:t>
            </w:r>
            <w:proofErr w:type="spellEnd"/>
            <w:r>
              <w:rPr>
                <w:b/>
              </w:rPr>
              <w:t xml:space="preserve"> p 6</w:t>
            </w:r>
          </w:p>
        </w:tc>
        <w:tc>
          <w:tcPr>
            <w:tcW w:w="1725"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vAlign w:val="bottom"/>
          </w:tcPr>
          <w:p w14:paraId="76C8D73C" w14:textId="77777777" w:rsidR="001C332B" w:rsidRDefault="008352E7">
            <w:pPr>
              <w:jc w:val="center"/>
            </w:pPr>
            <w:r>
              <w:t>0.972</w:t>
            </w:r>
          </w:p>
        </w:tc>
        <w:tc>
          <w:tcPr>
            <w:tcW w:w="1575" w:type="dxa"/>
            <w:tcBorders>
              <w:top w:val="single" w:sz="4" w:space="0" w:color="000000"/>
              <w:left w:val="single" w:sz="4" w:space="0" w:color="000000"/>
              <w:bottom w:val="single" w:sz="4" w:space="0" w:color="000000"/>
              <w:right w:val="single" w:sz="4" w:space="0" w:color="000000"/>
            </w:tcBorders>
          </w:tcPr>
          <w:p w14:paraId="11F602C0" w14:textId="77777777" w:rsidR="001C332B" w:rsidRDefault="008352E7">
            <w:pPr>
              <w:jc w:val="center"/>
            </w:pPr>
            <w:r>
              <w:t>0.983</w:t>
            </w:r>
          </w:p>
        </w:tc>
        <w:tc>
          <w:tcPr>
            <w:tcW w:w="144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14:paraId="25D42D3C" w14:textId="77777777" w:rsidR="001C332B" w:rsidRDefault="008352E7">
            <w:pPr>
              <w:jc w:val="center"/>
            </w:pPr>
            <w:r>
              <w:t>0.983</w:t>
            </w:r>
          </w:p>
        </w:tc>
      </w:tr>
      <w:tr w:rsidR="001C332B" w14:paraId="62413D50" w14:textId="77777777">
        <w:trPr>
          <w:trHeight w:val="227"/>
        </w:trPr>
        <w:tc>
          <w:tcPr>
            <w:tcW w:w="2310"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1787802A" w14:textId="77777777" w:rsidR="001C332B" w:rsidRDefault="001C332B">
            <w:pPr>
              <w:widowControl w:val="0"/>
              <w:spacing w:line="276" w:lineRule="auto"/>
            </w:pPr>
          </w:p>
        </w:tc>
        <w:tc>
          <w:tcPr>
            <w:tcW w:w="2025" w:type="dxa"/>
            <w:tcBorders>
              <w:top w:val="single" w:sz="4" w:space="0" w:color="000000"/>
              <w:left w:val="single" w:sz="4" w:space="0" w:color="000000"/>
              <w:bottom w:val="single" w:sz="4" w:space="0" w:color="000000"/>
              <w:right w:val="single" w:sz="4" w:space="0" w:color="000000"/>
            </w:tcBorders>
            <w:shd w:val="clear" w:color="auto" w:fill="E7E6E6"/>
            <w:tcMar>
              <w:top w:w="0" w:type="dxa"/>
              <w:left w:w="115" w:type="dxa"/>
              <w:bottom w:w="0" w:type="dxa"/>
              <w:right w:w="115" w:type="dxa"/>
            </w:tcMar>
          </w:tcPr>
          <w:p w14:paraId="444C7B83" w14:textId="77777777" w:rsidR="001C332B" w:rsidRDefault="008352E7">
            <w:proofErr w:type="spellStart"/>
            <w:r>
              <w:rPr>
                <w:b/>
              </w:rPr>
              <w:t>Phl</w:t>
            </w:r>
            <w:proofErr w:type="spellEnd"/>
            <w:r>
              <w:rPr>
                <w:b/>
              </w:rPr>
              <w:t xml:space="preserve"> p 7</w:t>
            </w:r>
          </w:p>
        </w:tc>
        <w:tc>
          <w:tcPr>
            <w:tcW w:w="1725"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vAlign w:val="bottom"/>
          </w:tcPr>
          <w:p w14:paraId="452B2988" w14:textId="77777777" w:rsidR="001C332B" w:rsidRDefault="008352E7">
            <w:pPr>
              <w:jc w:val="center"/>
            </w:pPr>
            <w:r>
              <w:t>0.998</w:t>
            </w:r>
          </w:p>
        </w:tc>
        <w:tc>
          <w:tcPr>
            <w:tcW w:w="1575" w:type="dxa"/>
            <w:tcBorders>
              <w:top w:val="single" w:sz="4" w:space="0" w:color="000000"/>
              <w:left w:val="single" w:sz="4" w:space="0" w:color="000000"/>
              <w:bottom w:val="single" w:sz="4" w:space="0" w:color="000000"/>
              <w:right w:val="single" w:sz="4" w:space="0" w:color="000000"/>
            </w:tcBorders>
          </w:tcPr>
          <w:p w14:paraId="23E51130" w14:textId="77777777" w:rsidR="001C332B" w:rsidRDefault="008352E7">
            <w:pPr>
              <w:jc w:val="center"/>
            </w:pPr>
            <w:r>
              <w:t>0.878</w:t>
            </w:r>
          </w:p>
        </w:tc>
        <w:tc>
          <w:tcPr>
            <w:tcW w:w="144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14:paraId="25D11C8E" w14:textId="77777777" w:rsidR="001C332B" w:rsidRDefault="008352E7">
            <w:pPr>
              <w:jc w:val="center"/>
            </w:pPr>
            <w:r>
              <w:t>0.999</w:t>
            </w:r>
          </w:p>
        </w:tc>
      </w:tr>
      <w:tr w:rsidR="001C332B" w14:paraId="7F31B0D8" w14:textId="77777777">
        <w:trPr>
          <w:trHeight w:val="227"/>
        </w:trPr>
        <w:tc>
          <w:tcPr>
            <w:tcW w:w="2310"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7BDA1C12" w14:textId="77777777" w:rsidR="001C332B" w:rsidRDefault="001C332B">
            <w:pPr>
              <w:widowControl w:val="0"/>
              <w:spacing w:line="276" w:lineRule="auto"/>
            </w:pPr>
          </w:p>
        </w:tc>
        <w:tc>
          <w:tcPr>
            <w:tcW w:w="2025" w:type="dxa"/>
            <w:tcBorders>
              <w:top w:val="single" w:sz="4" w:space="0" w:color="000000"/>
              <w:left w:val="single" w:sz="4" w:space="0" w:color="000000"/>
              <w:bottom w:val="single" w:sz="4" w:space="0" w:color="000000"/>
              <w:right w:val="single" w:sz="4" w:space="0" w:color="000000"/>
            </w:tcBorders>
            <w:shd w:val="clear" w:color="auto" w:fill="E7E6E6"/>
            <w:tcMar>
              <w:top w:w="0" w:type="dxa"/>
              <w:left w:w="115" w:type="dxa"/>
              <w:bottom w:w="0" w:type="dxa"/>
              <w:right w:w="115" w:type="dxa"/>
            </w:tcMar>
          </w:tcPr>
          <w:p w14:paraId="7973E1F6" w14:textId="77777777" w:rsidR="001C332B" w:rsidRDefault="008352E7">
            <w:proofErr w:type="spellStart"/>
            <w:r>
              <w:rPr>
                <w:b/>
              </w:rPr>
              <w:t>Phl</w:t>
            </w:r>
            <w:proofErr w:type="spellEnd"/>
            <w:r>
              <w:rPr>
                <w:b/>
              </w:rPr>
              <w:t xml:space="preserve"> p 12</w:t>
            </w:r>
          </w:p>
        </w:tc>
        <w:tc>
          <w:tcPr>
            <w:tcW w:w="1725"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vAlign w:val="bottom"/>
          </w:tcPr>
          <w:p w14:paraId="6DB08B48" w14:textId="77777777" w:rsidR="001C332B" w:rsidRDefault="008352E7">
            <w:pPr>
              <w:jc w:val="center"/>
            </w:pPr>
            <w:r>
              <w:t>0.986</w:t>
            </w:r>
          </w:p>
        </w:tc>
        <w:tc>
          <w:tcPr>
            <w:tcW w:w="1575" w:type="dxa"/>
            <w:tcBorders>
              <w:top w:val="single" w:sz="4" w:space="0" w:color="000000"/>
              <w:left w:val="single" w:sz="4" w:space="0" w:color="000000"/>
              <w:bottom w:val="single" w:sz="4" w:space="0" w:color="000000"/>
              <w:right w:val="single" w:sz="4" w:space="0" w:color="000000"/>
            </w:tcBorders>
          </w:tcPr>
          <w:p w14:paraId="28DC3F2C" w14:textId="77777777" w:rsidR="001C332B" w:rsidRDefault="008352E7">
            <w:pPr>
              <w:jc w:val="center"/>
            </w:pPr>
            <w:r>
              <w:t>0.763</w:t>
            </w:r>
          </w:p>
        </w:tc>
        <w:tc>
          <w:tcPr>
            <w:tcW w:w="144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14:paraId="247031C2" w14:textId="77777777" w:rsidR="001C332B" w:rsidRDefault="008352E7">
            <w:pPr>
              <w:jc w:val="center"/>
            </w:pPr>
            <w:r>
              <w:t>0.995</w:t>
            </w:r>
          </w:p>
        </w:tc>
      </w:tr>
      <w:tr w:rsidR="001C332B" w14:paraId="03CCF713" w14:textId="77777777">
        <w:trPr>
          <w:trHeight w:val="227"/>
        </w:trPr>
        <w:tc>
          <w:tcPr>
            <w:tcW w:w="2310"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305A58B6" w14:textId="77777777" w:rsidR="001C332B" w:rsidRDefault="008352E7">
            <w:r>
              <w:rPr>
                <w:b/>
              </w:rPr>
              <w:t>Olive pollen</w:t>
            </w:r>
          </w:p>
        </w:tc>
        <w:tc>
          <w:tcPr>
            <w:tcW w:w="2025" w:type="dxa"/>
            <w:tcBorders>
              <w:top w:val="single" w:sz="4" w:space="0" w:color="000000"/>
              <w:left w:val="single" w:sz="4" w:space="0" w:color="000000"/>
              <w:bottom w:val="single" w:sz="4" w:space="0" w:color="000000"/>
              <w:right w:val="single" w:sz="4" w:space="0" w:color="000000"/>
            </w:tcBorders>
            <w:shd w:val="clear" w:color="auto" w:fill="E7E6E6"/>
            <w:tcMar>
              <w:top w:w="0" w:type="dxa"/>
              <w:left w:w="115" w:type="dxa"/>
              <w:bottom w:w="0" w:type="dxa"/>
              <w:right w:w="115" w:type="dxa"/>
            </w:tcMar>
          </w:tcPr>
          <w:p w14:paraId="150A1CE8" w14:textId="77777777" w:rsidR="001C332B" w:rsidRDefault="008352E7">
            <w:r>
              <w:rPr>
                <w:b/>
              </w:rPr>
              <w:t>Ole e 1</w:t>
            </w:r>
          </w:p>
        </w:tc>
        <w:tc>
          <w:tcPr>
            <w:tcW w:w="1725" w:type="dxa"/>
            <w:tcBorders>
              <w:top w:val="single" w:sz="4" w:space="0" w:color="000000"/>
              <w:left w:val="single" w:sz="8" w:space="0" w:color="000000"/>
              <w:bottom w:val="single" w:sz="4" w:space="0" w:color="000000"/>
              <w:right w:val="single" w:sz="8" w:space="0" w:color="000000"/>
            </w:tcBorders>
            <w:shd w:val="clear" w:color="auto" w:fill="auto"/>
            <w:tcMar>
              <w:top w:w="0" w:type="dxa"/>
              <w:left w:w="115" w:type="dxa"/>
              <w:bottom w:w="0" w:type="dxa"/>
              <w:right w:w="115" w:type="dxa"/>
            </w:tcMar>
            <w:vAlign w:val="center"/>
          </w:tcPr>
          <w:p w14:paraId="40039B24" w14:textId="77777777" w:rsidR="001C332B" w:rsidRDefault="008352E7">
            <w:pPr>
              <w:jc w:val="center"/>
            </w:pPr>
            <w:r>
              <w:t>0.996</w:t>
            </w:r>
          </w:p>
        </w:tc>
        <w:tc>
          <w:tcPr>
            <w:tcW w:w="1575" w:type="dxa"/>
            <w:tcBorders>
              <w:top w:val="single" w:sz="4" w:space="0" w:color="000000"/>
              <w:left w:val="single" w:sz="8" w:space="0" w:color="000000"/>
              <w:bottom w:val="single" w:sz="4" w:space="0" w:color="000000"/>
              <w:right w:val="single" w:sz="8" w:space="0" w:color="000000"/>
            </w:tcBorders>
          </w:tcPr>
          <w:p w14:paraId="65638A05" w14:textId="77777777" w:rsidR="001C332B" w:rsidRDefault="008352E7">
            <w:pPr>
              <w:jc w:val="center"/>
            </w:pPr>
            <w:r>
              <w:t>0.998</w:t>
            </w:r>
          </w:p>
        </w:tc>
        <w:tc>
          <w:tcPr>
            <w:tcW w:w="144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14:paraId="36B2C8C5" w14:textId="77777777" w:rsidR="001C332B" w:rsidRDefault="008352E7">
            <w:pPr>
              <w:jc w:val="center"/>
            </w:pPr>
            <w:r>
              <w:t>0.981</w:t>
            </w:r>
          </w:p>
        </w:tc>
      </w:tr>
      <w:tr w:rsidR="001C332B" w14:paraId="0A399FBC" w14:textId="77777777">
        <w:trPr>
          <w:trHeight w:val="227"/>
        </w:trPr>
        <w:tc>
          <w:tcPr>
            <w:tcW w:w="2310"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692F4EA5" w14:textId="77777777" w:rsidR="001C332B" w:rsidRDefault="001C332B">
            <w:pPr>
              <w:widowControl w:val="0"/>
              <w:spacing w:line="276" w:lineRule="auto"/>
            </w:pPr>
          </w:p>
        </w:tc>
        <w:tc>
          <w:tcPr>
            <w:tcW w:w="2025" w:type="dxa"/>
            <w:tcBorders>
              <w:top w:val="single" w:sz="4" w:space="0" w:color="000000"/>
              <w:left w:val="single" w:sz="4" w:space="0" w:color="000000"/>
              <w:bottom w:val="single" w:sz="4" w:space="0" w:color="000000"/>
              <w:right w:val="single" w:sz="4" w:space="0" w:color="000000"/>
            </w:tcBorders>
            <w:shd w:val="clear" w:color="auto" w:fill="E7E6E6"/>
            <w:tcMar>
              <w:top w:w="0" w:type="dxa"/>
              <w:left w:w="115" w:type="dxa"/>
              <w:bottom w:w="0" w:type="dxa"/>
              <w:right w:w="115" w:type="dxa"/>
            </w:tcMar>
          </w:tcPr>
          <w:p w14:paraId="56E8F95D" w14:textId="77777777" w:rsidR="001C332B" w:rsidRDefault="008352E7">
            <w:r>
              <w:rPr>
                <w:b/>
              </w:rPr>
              <w:t>Ole e 7 RUO</w:t>
            </w:r>
          </w:p>
        </w:tc>
        <w:tc>
          <w:tcPr>
            <w:tcW w:w="1725" w:type="dxa"/>
            <w:tcBorders>
              <w:top w:val="nil"/>
              <w:left w:val="single" w:sz="8" w:space="0" w:color="000000"/>
              <w:bottom w:val="single" w:sz="4" w:space="0" w:color="000000"/>
              <w:right w:val="single" w:sz="8" w:space="0" w:color="000000"/>
            </w:tcBorders>
            <w:shd w:val="clear" w:color="auto" w:fill="auto"/>
            <w:tcMar>
              <w:top w:w="0" w:type="dxa"/>
              <w:left w:w="115" w:type="dxa"/>
              <w:bottom w:w="0" w:type="dxa"/>
              <w:right w:w="115" w:type="dxa"/>
            </w:tcMar>
            <w:vAlign w:val="center"/>
          </w:tcPr>
          <w:p w14:paraId="42B3546E" w14:textId="77777777" w:rsidR="001C332B" w:rsidRDefault="008352E7">
            <w:pPr>
              <w:jc w:val="center"/>
            </w:pPr>
            <w:r>
              <w:t>0.773</w:t>
            </w:r>
            <w:r>
              <w:rPr>
                <w:rFonts w:ascii="Arial" w:eastAsia="Arial" w:hAnsi="Arial" w:cs="Arial"/>
                <w:color w:val="1C1D1E"/>
                <w:sz w:val="21"/>
                <w:szCs w:val="21"/>
                <w:highlight w:val="white"/>
              </w:rPr>
              <w:t>†</w:t>
            </w:r>
          </w:p>
        </w:tc>
        <w:tc>
          <w:tcPr>
            <w:tcW w:w="1575" w:type="dxa"/>
            <w:tcBorders>
              <w:top w:val="nil"/>
              <w:left w:val="single" w:sz="8" w:space="0" w:color="000000"/>
              <w:bottom w:val="single" w:sz="4" w:space="0" w:color="000000"/>
              <w:right w:val="single" w:sz="8" w:space="0" w:color="000000"/>
            </w:tcBorders>
          </w:tcPr>
          <w:p w14:paraId="74BACC29" w14:textId="77777777" w:rsidR="001C332B" w:rsidRDefault="008352E7">
            <w:pPr>
              <w:jc w:val="center"/>
            </w:pPr>
            <w:r>
              <w:t>-</w:t>
            </w:r>
            <w:r>
              <w:rPr>
                <w:rFonts w:ascii="Arial" w:eastAsia="Arial" w:hAnsi="Arial" w:cs="Arial"/>
                <w:color w:val="1C1D1E"/>
                <w:sz w:val="21"/>
                <w:szCs w:val="21"/>
                <w:highlight w:val="white"/>
              </w:rPr>
              <w:t>†</w:t>
            </w:r>
          </w:p>
        </w:tc>
        <w:tc>
          <w:tcPr>
            <w:tcW w:w="144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14:paraId="3D3736AF" w14:textId="77777777" w:rsidR="001C332B" w:rsidRDefault="008352E7">
            <w:pPr>
              <w:jc w:val="center"/>
            </w:pPr>
            <w:r>
              <w:t>-0.179</w:t>
            </w:r>
            <w:r>
              <w:rPr>
                <w:rFonts w:ascii="Arial" w:eastAsia="Arial" w:hAnsi="Arial" w:cs="Arial"/>
                <w:color w:val="1C1D1E"/>
                <w:sz w:val="21"/>
                <w:szCs w:val="21"/>
                <w:highlight w:val="white"/>
              </w:rPr>
              <w:t>†</w:t>
            </w:r>
          </w:p>
        </w:tc>
      </w:tr>
      <w:tr w:rsidR="001C332B" w14:paraId="388C5725" w14:textId="77777777">
        <w:trPr>
          <w:trHeight w:val="227"/>
        </w:trPr>
        <w:tc>
          <w:tcPr>
            <w:tcW w:w="2310"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5FB19FB3" w14:textId="77777777" w:rsidR="001C332B" w:rsidRDefault="001C332B">
            <w:pPr>
              <w:widowControl w:val="0"/>
              <w:spacing w:line="276" w:lineRule="auto"/>
            </w:pPr>
          </w:p>
        </w:tc>
        <w:tc>
          <w:tcPr>
            <w:tcW w:w="2025" w:type="dxa"/>
            <w:tcBorders>
              <w:top w:val="single" w:sz="4" w:space="0" w:color="000000"/>
              <w:left w:val="single" w:sz="4" w:space="0" w:color="000000"/>
              <w:bottom w:val="single" w:sz="4" w:space="0" w:color="000000"/>
              <w:right w:val="single" w:sz="4" w:space="0" w:color="000000"/>
            </w:tcBorders>
            <w:shd w:val="clear" w:color="auto" w:fill="E7E6E6"/>
            <w:tcMar>
              <w:top w:w="0" w:type="dxa"/>
              <w:left w:w="115" w:type="dxa"/>
              <w:bottom w:w="0" w:type="dxa"/>
              <w:right w:w="115" w:type="dxa"/>
            </w:tcMar>
          </w:tcPr>
          <w:p w14:paraId="3C487CE8" w14:textId="77777777" w:rsidR="001C332B" w:rsidRDefault="008352E7">
            <w:r>
              <w:rPr>
                <w:b/>
              </w:rPr>
              <w:t>Ole e 9</w:t>
            </w:r>
          </w:p>
        </w:tc>
        <w:tc>
          <w:tcPr>
            <w:tcW w:w="1725" w:type="dxa"/>
            <w:tcBorders>
              <w:top w:val="nil"/>
              <w:left w:val="single" w:sz="8" w:space="0" w:color="000000"/>
              <w:bottom w:val="single" w:sz="4" w:space="0" w:color="000000"/>
              <w:right w:val="single" w:sz="8" w:space="0" w:color="000000"/>
            </w:tcBorders>
            <w:shd w:val="clear" w:color="auto" w:fill="auto"/>
            <w:tcMar>
              <w:top w:w="0" w:type="dxa"/>
              <w:left w:w="115" w:type="dxa"/>
              <w:bottom w:w="0" w:type="dxa"/>
              <w:right w:w="115" w:type="dxa"/>
            </w:tcMar>
            <w:vAlign w:val="center"/>
          </w:tcPr>
          <w:p w14:paraId="43EC92D1" w14:textId="77777777" w:rsidR="001C332B" w:rsidRDefault="008352E7">
            <w:pPr>
              <w:jc w:val="center"/>
            </w:pPr>
            <w:r>
              <w:t>0.988</w:t>
            </w:r>
          </w:p>
        </w:tc>
        <w:tc>
          <w:tcPr>
            <w:tcW w:w="1575" w:type="dxa"/>
            <w:tcBorders>
              <w:top w:val="nil"/>
              <w:left w:val="single" w:sz="8" w:space="0" w:color="000000"/>
              <w:bottom w:val="single" w:sz="4" w:space="0" w:color="000000"/>
              <w:right w:val="single" w:sz="8" w:space="0" w:color="000000"/>
            </w:tcBorders>
          </w:tcPr>
          <w:p w14:paraId="65C94127" w14:textId="77777777" w:rsidR="001C332B" w:rsidRDefault="008352E7">
            <w:pPr>
              <w:jc w:val="center"/>
            </w:pPr>
            <w:r>
              <w:t>0.963</w:t>
            </w:r>
          </w:p>
        </w:tc>
        <w:tc>
          <w:tcPr>
            <w:tcW w:w="144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14:paraId="74D55E37" w14:textId="77777777" w:rsidR="001C332B" w:rsidRDefault="008352E7">
            <w:pPr>
              <w:jc w:val="center"/>
            </w:pPr>
            <w:r>
              <w:t>0.998</w:t>
            </w:r>
          </w:p>
        </w:tc>
      </w:tr>
      <w:tr w:rsidR="001C332B" w14:paraId="63A5A8DD" w14:textId="77777777">
        <w:trPr>
          <w:trHeight w:val="227"/>
        </w:trPr>
        <w:tc>
          <w:tcPr>
            <w:tcW w:w="2310"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7AF80752" w14:textId="77777777" w:rsidR="001C332B" w:rsidRDefault="008352E7">
            <w:pPr>
              <w:rPr>
                <w:i/>
              </w:rPr>
            </w:pPr>
            <w:r>
              <w:rPr>
                <w:b/>
                <w:i/>
              </w:rPr>
              <w:t>A. alternata</w:t>
            </w:r>
          </w:p>
        </w:tc>
        <w:tc>
          <w:tcPr>
            <w:tcW w:w="2025" w:type="dxa"/>
            <w:tcBorders>
              <w:top w:val="single" w:sz="4" w:space="0" w:color="000000"/>
              <w:left w:val="single" w:sz="4" w:space="0" w:color="000000"/>
              <w:bottom w:val="single" w:sz="4" w:space="0" w:color="000000"/>
              <w:right w:val="single" w:sz="4" w:space="0" w:color="000000"/>
            </w:tcBorders>
            <w:shd w:val="clear" w:color="auto" w:fill="E7E6E6"/>
            <w:tcMar>
              <w:top w:w="0" w:type="dxa"/>
              <w:left w:w="115" w:type="dxa"/>
              <w:bottom w:w="0" w:type="dxa"/>
              <w:right w:w="115" w:type="dxa"/>
            </w:tcMar>
          </w:tcPr>
          <w:p w14:paraId="183DCFAD" w14:textId="77777777" w:rsidR="001C332B" w:rsidRDefault="008352E7">
            <w:r>
              <w:rPr>
                <w:b/>
              </w:rPr>
              <w:t>Alt a 1</w:t>
            </w:r>
          </w:p>
        </w:tc>
        <w:tc>
          <w:tcPr>
            <w:tcW w:w="1725" w:type="dxa"/>
            <w:tcBorders>
              <w:top w:val="single" w:sz="4" w:space="0" w:color="000000"/>
              <w:left w:val="single" w:sz="8" w:space="0" w:color="000000"/>
              <w:bottom w:val="single" w:sz="4" w:space="0" w:color="000000"/>
              <w:right w:val="single" w:sz="8" w:space="0" w:color="000000"/>
            </w:tcBorders>
            <w:shd w:val="clear" w:color="auto" w:fill="auto"/>
            <w:tcMar>
              <w:top w:w="0" w:type="dxa"/>
              <w:left w:w="115" w:type="dxa"/>
              <w:bottom w:w="0" w:type="dxa"/>
              <w:right w:w="115" w:type="dxa"/>
            </w:tcMar>
            <w:vAlign w:val="center"/>
          </w:tcPr>
          <w:p w14:paraId="1654CF21" w14:textId="77777777" w:rsidR="001C332B" w:rsidRDefault="008352E7">
            <w:pPr>
              <w:jc w:val="center"/>
            </w:pPr>
            <w:r>
              <w:t>0.998</w:t>
            </w:r>
          </w:p>
        </w:tc>
        <w:tc>
          <w:tcPr>
            <w:tcW w:w="1575" w:type="dxa"/>
            <w:tcBorders>
              <w:top w:val="single" w:sz="4" w:space="0" w:color="000000"/>
              <w:left w:val="single" w:sz="8" w:space="0" w:color="000000"/>
              <w:bottom w:val="single" w:sz="4" w:space="0" w:color="000000"/>
              <w:right w:val="single" w:sz="8" w:space="0" w:color="000000"/>
            </w:tcBorders>
          </w:tcPr>
          <w:p w14:paraId="4E9AF011" w14:textId="77777777" w:rsidR="001C332B" w:rsidRDefault="008352E7">
            <w:pPr>
              <w:jc w:val="center"/>
            </w:pPr>
            <w:r>
              <w:t>1</w:t>
            </w:r>
          </w:p>
        </w:tc>
        <w:tc>
          <w:tcPr>
            <w:tcW w:w="144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14:paraId="28F8962B" w14:textId="77777777" w:rsidR="001C332B" w:rsidRDefault="008352E7">
            <w:pPr>
              <w:jc w:val="center"/>
            </w:pPr>
            <w:r>
              <w:t>0.99</w:t>
            </w:r>
          </w:p>
        </w:tc>
      </w:tr>
      <w:tr w:rsidR="001C332B" w14:paraId="28BF1195" w14:textId="77777777">
        <w:trPr>
          <w:trHeight w:val="227"/>
        </w:trPr>
        <w:tc>
          <w:tcPr>
            <w:tcW w:w="2310"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654C1DCB" w14:textId="77777777" w:rsidR="001C332B" w:rsidRDefault="001C332B">
            <w:pPr>
              <w:widowControl w:val="0"/>
              <w:spacing w:line="276" w:lineRule="auto"/>
            </w:pPr>
          </w:p>
        </w:tc>
        <w:tc>
          <w:tcPr>
            <w:tcW w:w="2025" w:type="dxa"/>
            <w:tcBorders>
              <w:top w:val="single" w:sz="4" w:space="0" w:color="000000"/>
              <w:left w:val="single" w:sz="4" w:space="0" w:color="000000"/>
              <w:bottom w:val="single" w:sz="4" w:space="0" w:color="000000"/>
              <w:right w:val="single" w:sz="4" w:space="0" w:color="000000"/>
            </w:tcBorders>
            <w:shd w:val="clear" w:color="auto" w:fill="E7E6E6"/>
            <w:tcMar>
              <w:top w:w="0" w:type="dxa"/>
              <w:left w:w="115" w:type="dxa"/>
              <w:bottom w:w="0" w:type="dxa"/>
              <w:right w:w="115" w:type="dxa"/>
            </w:tcMar>
          </w:tcPr>
          <w:p w14:paraId="341FEA16" w14:textId="77777777" w:rsidR="001C332B" w:rsidRDefault="008352E7">
            <w:r>
              <w:rPr>
                <w:b/>
              </w:rPr>
              <w:t>Alt a 6</w:t>
            </w:r>
          </w:p>
        </w:tc>
        <w:tc>
          <w:tcPr>
            <w:tcW w:w="1725" w:type="dxa"/>
            <w:tcBorders>
              <w:top w:val="nil"/>
              <w:left w:val="single" w:sz="8" w:space="0" w:color="000000"/>
              <w:bottom w:val="single" w:sz="4" w:space="0" w:color="000000"/>
              <w:right w:val="single" w:sz="8" w:space="0" w:color="000000"/>
            </w:tcBorders>
            <w:shd w:val="clear" w:color="auto" w:fill="auto"/>
            <w:tcMar>
              <w:top w:w="0" w:type="dxa"/>
              <w:left w:w="115" w:type="dxa"/>
              <w:bottom w:w="0" w:type="dxa"/>
              <w:right w:w="115" w:type="dxa"/>
            </w:tcMar>
            <w:vAlign w:val="center"/>
          </w:tcPr>
          <w:p w14:paraId="476412B4" w14:textId="77777777" w:rsidR="001C332B" w:rsidRDefault="008352E7">
            <w:pPr>
              <w:jc w:val="center"/>
            </w:pPr>
            <w:r>
              <w:t>0.915</w:t>
            </w:r>
          </w:p>
        </w:tc>
        <w:tc>
          <w:tcPr>
            <w:tcW w:w="1575" w:type="dxa"/>
            <w:tcBorders>
              <w:top w:val="nil"/>
              <w:left w:val="single" w:sz="8" w:space="0" w:color="000000"/>
              <w:bottom w:val="single" w:sz="4" w:space="0" w:color="000000"/>
              <w:right w:val="single" w:sz="8" w:space="0" w:color="000000"/>
            </w:tcBorders>
          </w:tcPr>
          <w:p w14:paraId="652E4C85" w14:textId="77777777" w:rsidR="001C332B" w:rsidRDefault="008352E7">
            <w:pPr>
              <w:jc w:val="center"/>
              <w:rPr>
                <w:b/>
              </w:rPr>
            </w:pPr>
            <w:r>
              <w:rPr>
                <w:b/>
              </w:rPr>
              <w:t>0.684</w:t>
            </w:r>
          </w:p>
        </w:tc>
        <w:tc>
          <w:tcPr>
            <w:tcW w:w="144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14:paraId="3C3A6EF2" w14:textId="77777777" w:rsidR="001C332B" w:rsidRDefault="008352E7">
            <w:pPr>
              <w:jc w:val="center"/>
            </w:pPr>
            <w:r>
              <w:t>0.841</w:t>
            </w:r>
          </w:p>
        </w:tc>
      </w:tr>
      <w:tr w:rsidR="001C332B" w14:paraId="047401B1" w14:textId="77777777">
        <w:trPr>
          <w:trHeight w:val="227"/>
        </w:trPr>
        <w:tc>
          <w:tcPr>
            <w:tcW w:w="2310"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45124889" w14:textId="77777777" w:rsidR="001C332B" w:rsidRDefault="008352E7">
            <w:pPr>
              <w:rPr>
                <w:i/>
              </w:rPr>
            </w:pPr>
            <w:r>
              <w:rPr>
                <w:b/>
                <w:i/>
              </w:rPr>
              <w:t>D. pteronyssinus</w:t>
            </w:r>
          </w:p>
        </w:tc>
        <w:tc>
          <w:tcPr>
            <w:tcW w:w="2025" w:type="dxa"/>
            <w:tcBorders>
              <w:top w:val="single" w:sz="4" w:space="0" w:color="000000"/>
              <w:left w:val="single" w:sz="4" w:space="0" w:color="000000"/>
              <w:bottom w:val="single" w:sz="4" w:space="0" w:color="000000"/>
              <w:right w:val="single" w:sz="4" w:space="0" w:color="000000"/>
            </w:tcBorders>
            <w:shd w:val="clear" w:color="auto" w:fill="E7E6E6"/>
            <w:tcMar>
              <w:top w:w="0" w:type="dxa"/>
              <w:left w:w="115" w:type="dxa"/>
              <w:bottom w:w="0" w:type="dxa"/>
              <w:right w:w="115" w:type="dxa"/>
            </w:tcMar>
          </w:tcPr>
          <w:p w14:paraId="69758D94" w14:textId="77777777" w:rsidR="001C332B" w:rsidRDefault="008352E7">
            <w:r>
              <w:rPr>
                <w:b/>
              </w:rPr>
              <w:t>Der p 1</w:t>
            </w:r>
          </w:p>
        </w:tc>
        <w:tc>
          <w:tcPr>
            <w:tcW w:w="1725" w:type="dxa"/>
            <w:tcBorders>
              <w:top w:val="single" w:sz="4" w:space="0" w:color="000000"/>
              <w:left w:val="single" w:sz="8" w:space="0" w:color="000000"/>
              <w:bottom w:val="single" w:sz="4" w:space="0" w:color="000000"/>
              <w:right w:val="single" w:sz="8" w:space="0" w:color="000000"/>
            </w:tcBorders>
            <w:shd w:val="clear" w:color="auto" w:fill="auto"/>
            <w:tcMar>
              <w:top w:w="0" w:type="dxa"/>
              <w:left w:w="115" w:type="dxa"/>
              <w:bottom w:w="0" w:type="dxa"/>
              <w:right w:w="115" w:type="dxa"/>
            </w:tcMar>
            <w:vAlign w:val="center"/>
          </w:tcPr>
          <w:p w14:paraId="5DC5507D" w14:textId="77777777" w:rsidR="001C332B" w:rsidRDefault="008352E7">
            <w:pPr>
              <w:jc w:val="center"/>
            </w:pPr>
            <w:r>
              <w:t>0.998</w:t>
            </w:r>
          </w:p>
        </w:tc>
        <w:tc>
          <w:tcPr>
            <w:tcW w:w="1575" w:type="dxa"/>
            <w:tcBorders>
              <w:top w:val="single" w:sz="4" w:space="0" w:color="000000"/>
              <w:left w:val="single" w:sz="8" w:space="0" w:color="000000"/>
              <w:bottom w:val="single" w:sz="4" w:space="0" w:color="000000"/>
              <w:right w:val="single" w:sz="8" w:space="0" w:color="000000"/>
            </w:tcBorders>
          </w:tcPr>
          <w:p w14:paraId="75ADB08F" w14:textId="77777777" w:rsidR="001C332B" w:rsidRDefault="008352E7">
            <w:pPr>
              <w:jc w:val="center"/>
            </w:pPr>
            <w:r>
              <w:t>0.997</w:t>
            </w:r>
          </w:p>
        </w:tc>
        <w:tc>
          <w:tcPr>
            <w:tcW w:w="144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14:paraId="235B6665" w14:textId="77777777" w:rsidR="001C332B" w:rsidRDefault="008352E7">
            <w:pPr>
              <w:jc w:val="center"/>
            </w:pPr>
            <w:r>
              <w:t>1</w:t>
            </w:r>
          </w:p>
        </w:tc>
      </w:tr>
      <w:tr w:rsidR="001C332B" w14:paraId="041A4D82" w14:textId="77777777">
        <w:trPr>
          <w:trHeight w:val="227"/>
        </w:trPr>
        <w:tc>
          <w:tcPr>
            <w:tcW w:w="2310"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7171A456" w14:textId="77777777" w:rsidR="001C332B" w:rsidRDefault="001C332B">
            <w:pPr>
              <w:widowControl w:val="0"/>
              <w:spacing w:line="276" w:lineRule="auto"/>
            </w:pPr>
          </w:p>
        </w:tc>
        <w:tc>
          <w:tcPr>
            <w:tcW w:w="2025" w:type="dxa"/>
            <w:tcBorders>
              <w:top w:val="single" w:sz="4" w:space="0" w:color="000000"/>
              <w:left w:val="single" w:sz="4" w:space="0" w:color="000000"/>
              <w:bottom w:val="single" w:sz="4" w:space="0" w:color="000000"/>
              <w:right w:val="single" w:sz="4" w:space="0" w:color="000000"/>
            </w:tcBorders>
            <w:shd w:val="clear" w:color="auto" w:fill="E7E6E6"/>
            <w:tcMar>
              <w:top w:w="0" w:type="dxa"/>
              <w:left w:w="115" w:type="dxa"/>
              <w:bottom w:w="0" w:type="dxa"/>
              <w:right w:w="115" w:type="dxa"/>
            </w:tcMar>
          </w:tcPr>
          <w:p w14:paraId="2FBA6A8F" w14:textId="77777777" w:rsidR="001C332B" w:rsidRDefault="008352E7">
            <w:r>
              <w:rPr>
                <w:b/>
              </w:rPr>
              <w:t>Der p 2</w:t>
            </w:r>
          </w:p>
        </w:tc>
        <w:tc>
          <w:tcPr>
            <w:tcW w:w="1725" w:type="dxa"/>
            <w:tcBorders>
              <w:top w:val="nil"/>
              <w:left w:val="single" w:sz="8" w:space="0" w:color="000000"/>
              <w:bottom w:val="single" w:sz="4" w:space="0" w:color="000000"/>
              <w:right w:val="single" w:sz="8" w:space="0" w:color="000000"/>
            </w:tcBorders>
            <w:shd w:val="clear" w:color="auto" w:fill="auto"/>
            <w:tcMar>
              <w:top w:w="0" w:type="dxa"/>
              <w:left w:w="115" w:type="dxa"/>
              <w:bottom w:w="0" w:type="dxa"/>
              <w:right w:w="115" w:type="dxa"/>
            </w:tcMar>
            <w:vAlign w:val="center"/>
          </w:tcPr>
          <w:p w14:paraId="1D96B868" w14:textId="77777777" w:rsidR="001C332B" w:rsidRDefault="008352E7">
            <w:pPr>
              <w:jc w:val="center"/>
            </w:pPr>
            <w:r>
              <w:t>0.999</w:t>
            </w:r>
          </w:p>
        </w:tc>
        <w:tc>
          <w:tcPr>
            <w:tcW w:w="1575" w:type="dxa"/>
            <w:tcBorders>
              <w:top w:val="nil"/>
              <w:left w:val="single" w:sz="8" w:space="0" w:color="000000"/>
              <w:bottom w:val="single" w:sz="4" w:space="0" w:color="000000"/>
              <w:right w:val="single" w:sz="8" w:space="0" w:color="000000"/>
            </w:tcBorders>
          </w:tcPr>
          <w:p w14:paraId="3A2D3A0F" w14:textId="77777777" w:rsidR="001C332B" w:rsidRDefault="008352E7">
            <w:pPr>
              <w:jc w:val="center"/>
            </w:pPr>
            <w:r>
              <w:t>0.999</w:t>
            </w:r>
          </w:p>
        </w:tc>
        <w:tc>
          <w:tcPr>
            <w:tcW w:w="144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14:paraId="741927D7" w14:textId="77777777" w:rsidR="001C332B" w:rsidRDefault="008352E7">
            <w:pPr>
              <w:jc w:val="center"/>
            </w:pPr>
            <w:r>
              <w:t>1</w:t>
            </w:r>
          </w:p>
        </w:tc>
      </w:tr>
      <w:tr w:rsidR="001C332B" w14:paraId="5B5AE905" w14:textId="77777777">
        <w:trPr>
          <w:trHeight w:val="227"/>
        </w:trPr>
        <w:tc>
          <w:tcPr>
            <w:tcW w:w="2310"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001C2502" w14:textId="77777777" w:rsidR="001C332B" w:rsidRDefault="001C332B">
            <w:pPr>
              <w:widowControl w:val="0"/>
              <w:spacing w:line="276" w:lineRule="auto"/>
            </w:pPr>
          </w:p>
        </w:tc>
        <w:tc>
          <w:tcPr>
            <w:tcW w:w="2025" w:type="dxa"/>
            <w:tcBorders>
              <w:top w:val="single" w:sz="4" w:space="0" w:color="000000"/>
              <w:left w:val="single" w:sz="4" w:space="0" w:color="000000"/>
              <w:bottom w:val="single" w:sz="4" w:space="0" w:color="000000"/>
              <w:right w:val="single" w:sz="4" w:space="0" w:color="000000"/>
            </w:tcBorders>
            <w:shd w:val="clear" w:color="auto" w:fill="E7E6E6"/>
            <w:tcMar>
              <w:top w:w="0" w:type="dxa"/>
              <w:left w:w="115" w:type="dxa"/>
              <w:bottom w:w="0" w:type="dxa"/>
              <w:right w:w="115" w:type="dxa"/>
            </w:tcMar>
          </w:tcPr>
          <w:p w14:paraId="52C47AB8" w14:textId="77777777" w:rsidR="001C332B" w:rsidRDefault="008352E7">
            <w:r>
              <w:rPr>
                <w:b/>
              </w:rPr>
              <w:t>Der p 5</w:t>
            </w:r>
          </w:p>
        </w:tc>
        <w:tc>
          <w:tcPr>
            <w:tcW w:w="1725" w:type="dxa"/>
            <w:tcBorders>
              <w:top w:val="nil"/>
              <w:left w:val="single" w:sz="8" w:space="0" w:color="000000"/>
              <w:bottom w:val="single" w:sz="4" w:space="0" w:color="000000"/>
              <w:right w:val="single" w:sz="8" w:space="0" w:color="000000"/>
            </w:tcBorders>
            <w:shd w:val="clear" w:color="auto" w:fill="auto"/>
            <w:tcMar>
              <w:top w:w="0" w:type="dxa"/>
              <w:left w:w="115" w:type="dxa"/>
              <w:bottom w:w="0" w:type="dxa"/>
              <w:right w:w="115" w:type="dxa"/>
            </w:tcMar>
            <w:vAlign w:val="center"/>
          </w:tcPr>
          <w:p w14:paraId="56A4B923" w14:textId="77777777" w:rsidR="001C332B" w:rsidRDefault="008352E7">
            <w:pPr>
              <w:jc w:val="center"/>
            </w:pPr>
            <w:r>
              <w:t>0.999</w:t>
            </w:r>
          </w:p>
        </w:tc>
        <w:tc>
          <w:tcPr>
            <w:tcW w:w="1575" w:type="dxa"/>
            <w:tcBorders>
              <w:top w:val="nil"/>
              <w:left w:val="single" w:sz="8" w:space="0" w:color="000000"/>
              <w:bottom w:val="single" w:sz="4" w:space="0" w:color="000000"/>
              <w:right w:val="single" w:sz="8" w:space="0" w:color="000000"/>
            </w:tcBorders>
          </w:tcPr>
          <w:p w14:paraId="085F6935" w14:textId="77777777" w:rsidR="001C332B" w:rsidRDefault="008352E7">
            <w:pPr>
              <w:jc w:val="center"/>
            </w:pPr>
            <w:r>
              <w:t>0.998</w:t>
            </w:r>
          </w:p>
        </w:tc>
        <w:tc>
          <w:tcPr>
            <w:tcW w:w="144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14:paraId="4F53C289" w14:textId="77777777" w:rsidR="001C332B" w:rsidRDefault="008352E7">
            <w:pPr>
              <w:jc w:val="center"/>
            </w:pPr>
            <w:r>
              <w:t>1</w:t>
            </w:r>
          </w:p>
        </w:tc>
      </w:tr>
      <w:tr w:rsidR="001C332B" w14:paraId="61AF9620" w14:textId="77777777">
        <w:trPr>
          <w:trHeight w:val="227"/>
        </w:trPr>
        <w:tc>
          <w:tcPr>
            <w:tcW w:w="2310"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49AA4A32" w14:textId="77777777" w:rsidR="001C332B" w:rsidRDefault="001C332B">
            <w:pPr>
              <w:widowControl w:val="0"/>
              <w:spacing w:line="276" w:lineRule="auto"/>
            </w:pPr>
          </w:p>
        </w:tc>
        <w:tc>
          <w:tcPr>
            <w:tcW w:w="2025" w:type="dxa"/>
            <w:tcBorders>
              <w:top w:val="single" w:sz="4" w:space="0" w:color="000000"/>
              <w:left w:val="single" w:sz="4" w:space="0" w:color="000000"/>
              <w:bottom w:val="single" w:sz="4" w:space="0" w:color="000000"/>
              <w:right w:val="single" w:sz="4" w:space="0" w:color="000000"/>
            </w:tcBorders>
            <w:shd w:val="clear" w:color="auto" w:fill="E7E6E6"/>
            <w:tcMar>
              <w:top w:w="0" w:type="dxa"/>
              <w:left w:w="115" w:type="dxa"/>
              <w:bottom w:w="0" w:type="dxa"/>
              <w:right w:w="115" w:type="dxa"/>
            </w:tcMar>
          </w:tcPr>
          <w:p w14:paraId="24ED30CA" w14:textId="77777777" w:rsidR="001C332B" w:rsidRDefault="008352E7">
            <w:r>
              <w:rPr>
                <w:b/>
              </w:rPr>
              <w:t>Der p 7</w:t>
            </w:r>
          </w:p>
        </w:tc>
        <w:tc>
          <w:tcPr>
            <w:tcW w:w="1725" w:type="dxa"/>
            <w:tcBorders>
              <w:top w:val="nil"/>
              <w:left w:val="single" w:sz="8" w:space="0" w:color="000000"/>
              <w:bottom w:val="single" w:sz="4" w:space="0" w:color="000000"/>
              <w:right w:val="single" w:sz="8" w:space="0" w:color="000000"/>
            </w:tcBorders>
            <w:shd w:val="clear" w:color="auto" w:fill="auto"/>
            <w:tcMar>
              <w:top w:w="0" w:type="dxa"/>
              <w:left w:w="115" w:type="dxa"/>
              <w:bottom w:w="0" w:type="dxa"/>
              <w:right w:w="115" w:type="dxa"/>
            </w:tcMar>
            <w:vAlign w:val="center"/>
          </w:tcPr>
          <w:p w14:paraId="3A7579F1" w14:textId="77777777" w:rsidR="001C332B" w:rsidRDefault="008352E7">
            <w:pPr>
              <w:jc w:val="center"/>
            </w:pPr>
            <w:r>
              <w:t>0.997</w:t>
            </w:r>
          </w:p>
        </w:tc>
        <w:tc>
          <w:tcPr>
            <w:tcW w:w="1575" w:type="dxa"/>
            <w:tcBorders>
              <w:top w:val="nil"/>
              <w:left w:val="single" w:sz="8" w:space="0" w:color="000000"/>
              <w:bottom w:val="single" w:sz="4" w:space="0" w:color="000000"/>
              <w:right w:val="single" w:sz="8" w:space="0" w:color="000000"/>
            </w:tcBorders>
          </w:tcPr>
          <w:p w14:paraId="47D3F41B" w14:textId="77777777" w:rsidR="001C332B" w:rsidRDefault="008352E7">
            <w:pPr>
              <w:jc w:val="center"/>
              <w:rPr>
                <w:b/>
              </w:rPr>
            </w:pPr>
            <w:r>
              <w:rPr>
                <w:b/>
              </w:rPr>
              <w:t>0.680</w:t>
            </w:r>
          </w:p>
        </w:tc>
        <w:tc>
          <w:tcPr>
            <w:tcW w:w="144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14:paraId="29489CAE" w14:textId="77777777" w:rsidR="001C332B" w:rsidRDefault="008352E7">
            <w:pPr>
              <w:jc w:val="center"/>
            </w:pPr>
            <w:r>
              <w:t>1</w:t>
            </w:r>
          </w:p>
        </w:tc>
      </w:tr>
      <w:tr w:rsidR="001C332B" w14:paraId="01EB447F" w14:textId="77777777">
        <w:trPr>
          <w:trHeight w:val="227"/>
        </w:trPr>
        <w:tc>
          <w:tcPr>
            <w:tcW w:w="2310"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281F3E71" w14:textId="77777777" w:rsidR="001C332B" w:rsidRDefault="001C332B">
            <w:pPr>
              <w:widowControl w:val="0"/>
              <w:spacing w:line="276" w:lineRule="auto"/>
            </w:pPr>
          </w:p>
        </w:tc>
        <w:tc>
          <w:tcPr>
            <w:tcW w:w="2025" w:type="dxa"/>
            <w:tcBorders>
              <w:top w:val="single" w:sz="4" w:space="0" w:color="000000"/>
              <w:left w:val="single" w:sz="4" w:space="0" w:color="000000"/>
              <w:bottom w:val="single" w:sz="4" w:space="0" w:color="000000"/>
              <w:right w:val="single" w:sz="4" w:space="0" w:color="000000"/>
            </w:tcBorders>
            <w:shd w:val="clear" w:color="auto" w:fill="E7E6E6"/>
            <w:tcMar>
              <w:top w:w="0" w:type="dxa"/>
              <w:left w:w="115" w:type="dxa"/>
              <w:bottom w:w="0" w:type="dxa"/>
              <w:right w:w="115" w:type="dxa"/>
            </w:tcMar>
          </w:tcPr>
          <w:p w14:paraId="51AB2F58" w14:textId="77777777" w:rsidR="001C332B" w:rsidRDefault="008352E7">
            <w:r>
              <w:rPr>
                <w:b/>
              </w:rPr>
              <w:t>Der p 10</w:t>
            </w:r>
          </w:p>
        </w:tc>
        <w:tc>
          <w:tcPr>
            <w:tcW w:w="1725" w:type="dxa"/>
            <w:tcBorders>
              <w:top w:val="nil"/>
              <w:left w:val="single" w:sz="8" w:space="0" w:color="000000"/>
              <w:bottom w:val="single" w:sz="4" w:space="0" w:color="000000"/>
              <w:right w:val="single" w:sz="8" w:space="0" w:color="000000"/>
            </w:tcBorders>
            <w:shd w:val="clear" w:color="auto" w:fill="auto"/>
            <w:tcMar>
              <w:top w:w="0" w:type="dxa"/>
              <w:left w:w="115" w:type="dxa"/>
              <w:bottom w:w="0" w:type="dxa"/>
              <w:right w:w="115" w:type="dxa"/>
            </w:tcMar>
            <w:vAlign w:val="center"/>
          </w:tcPr>
          <w:p w14:paraId="2F4428F3" w14:textId="77777777" w:rsidR="001C332B" w:rsidRDefault="008352E7">
            <w:pPr>
              <w:jc w:val="center"/>
              <w:rPr>
                <w:b/>
              </w:rPr>
            </w:pPr>
            <w:r>
              <w:rPr>
                <w:b/>
              </w:rPr>
              <w:t>0.6</w:t>
            </w:r>
          </w:p>
        </w:tc>
        <w:tc>
          <w:tcPr>
            <w:tcW w:w="1575" w:type="dxa"/>
            <w:tcBorders>
              <w:top w:val="nil"/>
              <w:left w:val="single" w:sz="8" w:space="0" w:color="000000"/>
              <w:bottom w:val="single" w:sz="4" w:space="0" w:color="000000"/>
              <w:right w:val="single" w:sz="8" w:space="0" w:color="000000"/>
            </w:tcBorders>
          </w:tcPr>
          <w:p w14:paraId="64E3ADEB" w14:textId="77777777" w:rsidR="001C332B" w:rsidRDefault="008352E7">
            <w:pPr>
              <w:jc w:val="center"/>
            </w:pPr>
            <w:r>
              <w:t>-0.385</w:t>
            </w:r>
            <w:r>
              <w:rPr>
                <w:rFonts w:ascii="Arial" w:eastAsia="Arial" w:hAnsi="Arial" w:cs="Arial"/>
                <w:color w:val="1C1D1E"/>
                <w:sz w:val="21"/>
                <w:szCs w:val="21"/>
                <w:highlight w:val="white"/>
              </w:rPr>
              <w:t>†</w:t>
            </w:r>
          </w:p>
        </w:tc>
        <w:tc>
          <w:tcPr>
            <w:tcW w:w="144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14:paraId="0D9400B1" w14:textId="77777777" w:rsidR="001C332B" w:rsidRDefault="008352E7">
            <w:pPr>
              <w:jc w:val="center"/>
            </w:pPr>
            <w:r>
              <w:t>-0.274</w:t>
            </w:r>
            <w:r>
              <w:rPr>
                <w:rFonts w:ascii="Arial" w:eastAsia="Arial" w:hAnsi="Arial" w:cs="Arial"/>
                <w:color w:val="1C1D1E"/>
                <w:sz w:val="21"/>
                <w:szCs w:val="21"/>
                <w:highlight w:val="white"/>
              </w:rPr>
              <w:t>†</w:t>
            </w:r>
          </w:p>
        </w:tc>
      </w:tr>
      <w:tr w:rsidR="001C332B" w14:paraId="483EC0E3" w14:textId="77777777">
        <w:trPr>
          <w:trHeight w:val="55"/>
        </w:trPr>
        <w:tc>
          <w:tcPr>
            <w:tcW w:w="2310"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39AF6679" w14:textId="77777777" w:rsidR="001C332B" w:rsidRDefault="001C332B">
            <w:pPr>
              <w:widowControl w:val="0"/>
              <w:spacing w:line="276" w:lineRule="auto"/>
            </w:pPr>
          </w:p>
        </w:tc>
        <w:tc>
          <w:tcPr>
            <w:tcW w:w="2025" w:type="dxa"/>
            <w:tcBorders>
              <w:top w:val="single" w:sz="4" w:space="0" w:color="000000"/>
              <w:left w:val="single" w:sz="4" w:space="0" w:color="000000"/>
              <w:bottom w:val="single" w:sz="4" w:space="0" w:color="000000"/>
              <w:right w:val="single" w:sz="4" w:space="0" w:color="000000"/>
            </w:tcBorders>
            <w:shd w:val="clear" w:color="auto" w:fill="E7E6E6"/>
            <w:tcMar>
              <w:top w:w="0" w:type="dxa"/>
              <w:left w:w="115" w:type="dxa"/>
              <w:bottom w:w="0" w:type="dxa"/>
              <w:right w:w="115" w:type="dxa"/>
            </w:tcMar>
          </w:tcPr>
          <w:p w14:paraId="18FAFB7D" w14:textId="77777777" w:rsidR="001C332B" w:rsidRDefault="008352E7">
            <w:r>
              <w:rPr>
                <w:b/>
              </w:rPr>
              <w:t>Der p 11</w:t>
            </w:r>
          </w:p>
        </w:tc>
        <w:tc>
          <w:tcPr>
            <w:tcW w:w="1725" w:type="dxa"/>
            <w:tcBorders>
              <w:top w:val="nil"/>
              <w:left w:val="single" w:sz="8" w:space="0" w:color="000000"/>
              <w:bottom w:val="single" w:sz="4" w:space="0" w:color="000000"/>
              <w:right w:val="single" w:sz="8" w:space="0" w:color="000000"/>
            </w:tcBorders>
            <w:shd w:val="clear" w:color="auto" w:fill="auto"/>
            <w:tcMar>
              <w:top w:w="0" w:type="dxa"/>
              <w:left w:w="115" w:type="dxa"/>
              <w:bottom w:w="0" w:type="dxa"/>
              <w:right w:w="115" w:type="dxa"/>
            </w:tcMar>
            <w:vAlign w:val="center"/>
          </w:tcPr>
          <w:p w14:paraId="6F8EB87C" w14:textId="77777777" w:rsidR="001C332B" w:rsidRDefault="008352E7">
            <w:pPr>
              <w:jc w:val="center"/>
              <w:rPr>
                <w:b/>
              </w:rPr>
            </w:pPr>
            <w:r>
              <w:rPr>
                <w:b/>
              </w:rPr>
              <w:t>0.678</w:t>
            </w:r>
          </w:p>
        </w:tc>
        <w:tc>
          <w:tcPr>
            <w:tcW w:w="1575" w:type="dxa"/>
            <w:tcBorders>
              <w:top w:val="nil"/>
              <w:left w:val="single" w:sz="8" w:space="0" w:color="000000"/>
              <w:bottom w:val="single" w:sz="4" w:space="0" w:color="000000"/>
              <w:right w:val="single" w:sz="8" w:space="0" w:color="000000"/>
            </w:tcBorders>
          </w:tcPr>
          <w:p w14:paraId="5148513A" w14:textId="77777777" w:rsidR="001C332B" w:rsidRDefault="008352E7">
            <w:pPr>
              <w:jc w:val="center"/>
            </w:pPr>
            <w:r>
              <w:t>-0.372</w:t>
            </w:r>
            <w:r>
              <w:rPr>
                <w:rFonts w:ascii="Arial" w:eastAsia="Arial" w:hAnsi="Arial" w:cs="Arial"/>
                <w:color w:val="1C1D1E"/>
                <w:sz w:val="21"/>
                <w:szCs w:val="21"/>
                <w:highlight w:val="white"/>
              </w:rPr>
              <w:t>†</w:t>
            </w:r>
          </w:p>
        </w:tc>
        <w:tc>
          <w:tcPr>
            <w:tcW w:w="144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14:paraId="5E60F25D" w14:textId="77777777" w:rsidR="001C332B" w:rsidRDefault="008352E7">
            <w:pPr>
              <w:jc w:val="center"/>
            </w:pPr>
            <w:r>
              <w:t>-0.78</w:t>
            </w:r>
            <w:r>
              <w:rPr>
                <w:rFonts w:ascii="Arial" w:eastAsia="Arial" w:hAnsi="Arial" w:cs="Arial"/>
                <w:color w:val="1C1D1E"/>
                <w:sz w:val="21"/>
                <w:szCs w:val="21"/>
                <w:highlight w:val="white"/>
              </w:rPr>
              <w:t>†</w:t>
            </w:r>
          </w:p>
        </w:tc>
      </w:tr>
      <w:tr w:rsidR="001C332B" w14:paraId="175D6E36" w14:textId="77777777">
        <w:trPr>
          <w:trHeight w:val="227"/>
        </w:trPr>
        <w:tc>
          <w:tcPr>
            <w:tcW w:w="2310"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2A7A9BE8" w14:textId="77777777" w:rsidR="001C332B" w:rsidRDefault="001C332B">
            <w:pPr>
              <w:widowControl w:val="0"/>
              <w:spacing w:line="276" w:lineRule="auto"/>
            </w:pPr>
          </w:p>
        </w:tc>
        <w:tc>
          <w:tcPr>
            <w:tcW w:w="2025" w:type="dxa"/>
            <w:tcBorders>
              <w:top w:val="single" w:sz="4" w:space="0" w:color="000000"/>
              <w:left w:val="single" w:sz="4" w:space="0" w:color="000000"/>
              <w:bottom w:val="single" w:sz="4" w:space="0" w:color="000000"/>
              <w:right w:val="single" w:sz="4" w:space="0" w:color="000000"/>
            </w:tcBorders>
            <w:shd w:val="clear" w:color="auto" w:fill="E7E6E6"/>
            <w:tcMar>
              <w:top w:w="0" w:type="dxa"/>
              <w:left w:w="115" w:type="dxa"/>
              <w:bottom w:w="0" w:type="dxa"/>
              <w:right w:w="115" w:type="dxa"/>
            </w:tcMar>
          </w:tcPr>
          <w:p w14:paraId="3CBBEC26" w14:textId="77777777" w:rsidR="001C332B" w:rsidRDefault="008352E7">
            <w:r>
              <w:rPr>
                <w:b/>
              </w:rPr>
              <w:t>Der p 20</w:t>
            </w:r>
          </w:p>
        </w:tc>
        <w:tc>
          <w:tcPr>
            <w:tcW w:w="1725" w:type="dxa"/>
            <w:tcBorders>
              <w:top w:val="nil"/>
              <w:left w:val="single" w:sz="8" w:space="0" w:color="000000"/>
              <w:bottom w:val="single" w:sz="4" w:space="0" w:color="000000"/>
              <w:right w:val="single" w:sz="8" w:space="0" w:color="000000"/>
            </w:tcBorders>
            <w:shd w:val="clear" w:color="auto" w:fill="auto"/>
            <w:tcMar>
              <w:top w:w="0" w:type="dxa"/>
              <w:left w:w="115" w:type="dxa"/>
              <w:bottom w:w="0" w:type="dxa"/>
              <w:right w:w="115" w:type="dxa"/>
            </w:tcMar>
            <w:vAlign w:val="center"/>
          </w:tcPr>
          <w:p w14:paraId="105F319E" w14:textId="77777777" w:rsidR="001C332B" w:rsidRDefault="008352E7">
            <w:pPr>
              <w:jc w:val="center"/>
            </w:pPr>
            <w:r>
              <w:t>0.995</w:t>
            </w:r>
          </w:p>
        </w:tc>
        <w:tc>
          <w:tcPr>
            <w:tcW w:w="1575" w:type="dxa"/>
            <w:tcBorders>
              <w:top w:val="nil"/>
              <w:left w:val="single" w:sz="8" w:space="0" w:color="000000"/>
              <w:bottom w:val="single" w:sz="4" w:space="0" w:color="000000"/>
              <w:right w:val="single" w:sz="8" w:space="0" w:color="000000"/>
            </w:tcBorders>
          </w:tcPr>
          <w:p w14:paraId="2EFF3CA3" w14:textId="77777777" w:rsidR="001C332B" w:rsidRDefault="008352E7">
            <w:pPr>
              <w:jc w:val="center"/>
            </w:pPr>
            <w:r>
              <w:t>0.987</w:t>
            </w:r>
          </w:p>
        </w:tc>
        <w:tc>
          <w:tcPr>
            <w:tcW w:w="144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14:paraId="10C60293" w14:textId="77777777" w:rsidR="001C332B" w:rsidRDefault="008352E7">
            <w:pPr>
              <w:jc w:val="center"/>
            </w:pPr>
            <w:r>
              <w:t>0.998</w:t>
            </w:r>
          </w:p>
        </w:tc>
      </w:tr>
      <w:tr w:rsidR="001C332B" w14:paraId="0BDEDE5E" w14:textId="77777777">
        <w:trPr>
          <w:trHeight w:val="227"/>
        </w:trPr>
        <w:tc>
          <w:tcPr>
            <w:tcW w:w="2310"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7659D8EB" w14:textId="77777777" w:rsidR="001C332B" w:rsidRDefault="001C332B">
            <w:pPr>
              <w:widowControl w:val="0"/>
              <w:spacing w:line="276" w:lineRule="auto"/>
            </w:pPr>
          </w:p>
        </w:tc>
        <w:tc>
          <w:tcPr>
            <w:tcW w:w="2025" w:type="dxa"/>
            <w:tcBorders>
              <w:top w:val="single" w:sz="4" w:space="0" w:color="000000"/>
              <w:left w:val="single" w:sz="4" w:space="0" w:color="000000"/>
              <w:bottom w:val="single" w:sz="4" w:space="0" w:color="000000"/>
              <w:right w:val="single" w:sz="4" w:space="0" w:color="000000"/>
            </w:tcBorders>
            <w:shd w:val="clear" w:color="auto" w:fill="E7E6E6"/>
            <w:tcMar>
              <w:top w:w="0" w:type="dxa"/>
              <w:left w:w="115" w:type="dxa"/>
              <w:bottom w:w="0" w:type="dxa"/>
              <w:right w:w="115" w:type="dxa"/>
            </w:tcMar>
          </w:tcPr>
          <w:p w14:paraId="6FE39E43" w14:textId="77777777" w:rsidR="001C332B" w:rsidRDefault="008352E7">
            <w:r>
              <w:rPr>
                <w:b/>
              </w:rPr>
              <w:t>Der p 21</w:t>
            </w:r>
          </w:p>
        </w:tc>
        <w:tc>
          <w:tcPr>
            <w:tcW w:w="1725" w:type="dxa"/>
            <w:tcBorders>
              <w:top w:val="nil"/>
              <w:left w:val="single" w:sz="8" w:space="0" w:color="000000"/>
              <w:bottom w:val="single" w:sz="4" w:space="0" w:color="000000"/>
              <w:right w:val="single" w:sz="8" w:space="0" w:color="000000"/>
            </w:tcBorders>
            <w:shd w:val="clear" w:color="auto" w:fill="auto"/>
            <w:tcMar>
              <w:top w:w="0" w:type="dxa"/>
              <w:left w:w="115" w:type="dxa"/>
              <w:bottom w:w="0" w:type="dxa"/>
              <w:right w:w="115" w:type="dxa"/>
            </w:tcMar>
            <w:vAlign w:val="center"/>
          </w:tcPr>
          <w:p w14:paraId="0A3B69F4" w14:textId="77777777" w:rsidR="001C332B" w:rsidRDefault="008352E7">
            <w:pPr>
              <w:jc w:val="center"/>
            </w:pPr>
            <w:r>
              <w:t>0.998</w:t>
            </w:r>
          </w:p>
        </w:tc>
        <w:tc>
          <w:tcPr>
            <w:tcW w:w="1575" w:type="dxa"/>
            <w:tcBorders>
              <w:top w:val="nil"/>
              <w:left w:val="single" w:sz="8" w:space="0" w:color="000000"/>
              <w:bottom w:val="single" w:sz="4" w:space="0" w:color="000000"/>
              <w:right w:val="single" w:sz="8" w:space="0" w:color="000000"/>
            </w:tcBorders>
          </w:tcPr>
          <w:p w14:paraId="245C61A0" w14:textId="77777777" w:rsidR="001C332B" w:rsidRDefault="008352E7">
            <w:pPr>
              <w:jc w:val="center"/>
            </w:pPr>
            <w:r>
              <w:t>1</w:t>
            </w:r>
          </w:p>
        </w:tc>
        <w:tc>
          <w:tcPr>
            <w:tcW w:w="144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14:paraId="071A0282" w14:textId="77777777" w:rsidR="001C332B" w:rsidRDefault="008352E7">
            <w:pPr>
              <w:jc w:val="center"/>
            </w:pPr>
            <w:r>
              <w:t>1</w:t>
            </w:r>
          </w:p>
        </w:tc>
      </w:tr>
      <w:tr w:rsidR="001C332B" w14:paraId="1EE0F249" w14:textId="77777777">
        <w:trPr>
          <w:trHeight w:val="227"/>
        </w:trPr>
        <w:tc>
          <w:tcPr>
            <w:tcW w:w="2310"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000564EA" w14:textId="77777777" w:rsidR="001C332B" w:rsidRDefault="001C332B">
            <w:pPr>
              <w:widowControl w:val="0"/>
              <w:spacing w:line="276" w:lineRule="auto"/>
            </w:pPr>
          </w:p>
        </w:tc>
        <w:tc>
          <w:tcPr>
            <w:tcW w:w="2025" w:type="dxa"/>
            <w:tcBorders>
              <w:top w:val="single" w:sz="4" w:space="0" w:color="000000"/>
              <w:left w:val="single" w:sz="4" w:space="0" w:color="000000"/>
              <w:bottom w:val="single" w:sz="4" w:space="0" w:color="000000"/>
              <w:right w:val="single" w:sz="4" w:space="0" w:color="000000"/>
            </w:tcBorders>
            <w:shd w:val="clear" w:color="auto" w:fill="E7E6E6"/>
            <w:tcMar>
              <w:top w:w="0" w:type="dxa"/>
              <w:left w:w="115" w:type="dxa"/>
              <w:bottom w:w="0" w:type="dxa"/>
              <w:right w:w="115" w:type="dxa"/>
            </w:tcMar>
          </w:tcPr>
          <w:p w14:paraId="69FD114A" w14:textId="77777777" w:rsidR="001C332B" w:rsidRDefault="008352E7">
            <w:r>
              <w:rPr>
                <w:b/>
              </w:rPr>
              <w:t>Der p 23</w:t>
            </w:r>
          </w:p>
        </w:tc>
        <w:tc>
          <w:tcPr>
            <w:tcW w:w="1725" w:type="dxa"/>
            <w:tcBorders>
              <w:top w:val="nil"/>
              <w:left w:val="single" w:sz="8" w:space="0" w:color="000000"/>
              <w:bottom w:val="single" w:sz="4" w:space="0" w:color="000000"/>
              <w:right w:val="single" w:sz="8" w:space="0" w:color="000000"/>
            </w:tcBorders>
            <w:shd w:val="clear" w:color="auto" w:fill="auto"/>
            <w:tcMar>
              <w:top w:w="0" w:type="dxa"/>
              <w:left w:w="115" w:type="dxa"/>
              <w:bottom w:w="0" w:type="dxa"/>
              <w:right w:w="115" w:type="dxa"/>
            </w:tcMar>
            <w:vAlign w:val="center"/>
          </w:tcPr>
          <w:p w14:paraId="2C8D2B23" w14:textId="77777777" w:rsidR="001C332B" w:rsidRDefault="008352E7">
            <w:pPr>
              <w:jc w:val="center"/>
            </w:pPr>
            <w:r>
              <w:t>0.999</w:t>
            </w:r>
          </w:p>
        </w:tc>
        <w:tc>
          <w:tcPr>
            <w:tcW w:w="1575" w:type="dxa"/>
            <w:tcBorders>
              <w:top w:val="nil"/>
              <w:left w:val="single" w:sz="8" w:space="0" w:color="000000"/>
              <w:bottom w:val="single" w:sz="4" w:space="0" w:color="000000"/>
              <w:right w:val="single" w:sz="8" w:space="0" w:color="000000"/>
            </w:tcBorders>
          </w:tcPr>
          <w:p w14:paraId="3EBCAA97" w14:textId="77777777" w:rsidR="001C332B" w:rsidRDefault="008352E7">
            <w:pPr>
              <w:jc w:val="center"/>
            </w:pPr>
            <w:r>
              <w:t>0.998</w:t>
            </w:r>
          </w:p>
        </w:tc>
        <w:tc>
          <w:tcPr>
            <w:tcW w:w="144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14:paraId="66E94AA1" w14:textId="77777777" w:rsidR="001C332B" w:rsidRDefault="008352E7">
            <w:pPr>
              <w:jc w:val="center"/>
            </w:pPr>
            <w:r>
              <w:t>1</w:t>
            </w:r>
          </w:p>
        </w:tc>
      </w:tr>
      <w:tr w:rsidR="001C332B" w14:paraId="2930B9C8" w14:textId="77777777">
        <w:trPr>
          <w:trHeight w:val="227"/>
        </w:trPr>
        <w:tc>
          <w:tcPr>
            <w:tcW w:w="2310" w:type="dxa"/>
            <w:vMerge w:val="restart"/>
            <w:tcBorders>
              <w:top w:val="single" w:sz="4" w:space="0" w:color="000000"/>
              <w:left w:val="single" w:sz="4" w:space="0" w:color="000000"/>
              <w:right w:val="single" w:sz="4" w:space="0" w:color="000000"/>
            </w:tcBorders>
          </w:tcPr>
          <w:p w14:paraId="36BB8E4C" w14:textId="77777777" w:rsidR="001C332B" w:rsidRDefault="008352E7">
            <w:r>
              <w:rPr>
                <w:b/>
              </w:rPr>
              <w:t>Apple</w:t>
            </w:r>
          </w:p>
        </w:tc>
        <w:tc>
          <w:tcPr>
            <w:tcW w:w="2025" w:type="dxa"/>
            <w:tcBorders>
              <w:top w:val="single" w:sz="4" w:space="0" w:color="000000"/>
              <w:left w:val="single" w:sz="4" w:space="0" w:color="000000"/>
              <w:bottom w:val="single" w:sz="4" w:space="0" w:color="000000"/>
              <w:right w:val="single" w:sz="4" w:space="0" w:color="000000"/>
            </w:tcBorders>
            <w:shd w:val="clear" w:color="auto" w:fill="E7E6E6"/>
            <w:tcMar>
              <w:top w:w="0" w:type="dxa"/>
              <w:left w:w="115" w:type="dxa"/>
              <w:bottom w:w="0" w:type="dxa"/>
              <w:right w:w="115" w:type="dxa"/>
            </w:tcMar>
          </w:tcPr>
          <w:p w14:paraId="544EC0CA" w14:textId="77777777" w:rsidR="001C332B" w:rsidRDefault="008352E7">
            <w:r>
              <w:rPr>
                <w:b/>
              </w:rPr>
              <w:t>Mal d 1</w:t>
            </w:r>
          </w:p>
        </w:tc>
        <w:tc>
          <w:tcPr>
            <w:tcW w:w="1725" w:type="dxa"/>
            <w:tcBorders>
              <w:top w:val="single" w:sz="4" w:space="0" w:color="000000"/>
              <w:left w:val="single" w:sz="8" w:space="0" w:color="000000"/>
              <w:bottom w:val="single" w:sz="4" w:space="0" w:color="000000"/>
              <w:right w:val="single" w:sz="8" w:space="0" w:color="000000"/>
            </w:tcBorders>
            <w:shd w:val="clear" w:color="auto" w:fill="auto"/>
            <w:tcMar>
              <w:top w:w="0" w:type="dxa"/>
              <w:left w:w="115" w:type="dxa"/>
              <w:bottom w:w="0" w:type="dxa"/>
              <w:right w:w="115" w:type="dxa"/>
            </w:tcMar>
            <w:vAlign w:val="center"/>
          </w:tcPr>
          <w:p w14:paraId="6C46F4A6" w14:textId="77777777" w:rsidR="001C332B" w:rsidRDefault="008352E7">
            <w:pPr>
              <w:jc w:val="center"/>
            </w:pPr>
            <w:r>
              <w:t>0.998</w:t>
            </w:r>
          </w:p>
        </w:tc>
        <w:tc>
          <w:tcPr>
            <w:tcW w:w="1575" w:type="dxa"/>
            <w:tcBorders>
              <w:top w:val="single" w:sz="4" w:space="0" w:color="000000"/>
              <w:left w:val="single" w:sz="8" w:space="0" w:color="000000"/>
              <w:bottom w:val="single" w:sz="4" w:space="0" w:color="000000"/>
              <w:right w:val="single" w:sz="8" w:space="0" w:color="000000"/>
            </w:tcBorders>
          </w:tcPr>
          <w:p w14:paraId="79247A63" w14:textId="77777777" w:rsidR="001C332B" w:rsidRDefault="008352E7">
            <w:pPr>
              <w:jc w:val="center"/>
            </w:pPr>
            <w:r>
              <w:t>0.987</w:t>
            </w:r>
          </w:p>
        </w:tc>
        <w:tc>
          <w:tcPr>
            <w:tcW w:w="144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14:paraId="0778325C" w14:textId="77777777" w:rsidR="001C332B" w:rsidRDefault="008352E7">
            <w:pPr>
              <w:jc w:val="center"/>
            </w:pPr>
            <w:r>
              <w:t>0.979</w:t>
            </w:r>
          </w:p>
        </w:tc>
      </w:tr>
      <w:tr w:rsidR="001C332B" w14:paraId="5F195BA1" w14:textId="77777777">
        <w:trPr>
          <w:trHeight w:val="227"/>
        </w:trPr>
        <w:tc>
          <w:tcPr>
            <w:tcW w:w="2310" w:type="dxa"/>
            <w:vMerge/>
            <w:tcBorders>
              <w:top w:val="single" w:sz="4" w:space="0" w:color="000000"/>
              <w:left w:val="single" w:sz="4" w:space="0" w:color="000000"/>
              <w:right w:val="single" w:sz="4" w:space="0" w:color="000000"/>
            </w:tcBorders>
          </w:tcPr>
          <w:p w14:paraId="4D53F6A3" w14:textId="77777777" w:rsidR="001C332B" w:rsidRDefault="001C332B">
            <w:pPr>
              <w:widowControl w:val="0"/>
              <w:spacing w:line="276" w:lineRule="auto"/>
            </w:pPr>
          </w:p>
        </w:tc>
        <w:tc>
          <w:tcPr>
            <w:tcW w:w="2025" w:type="dxa"/>
            <w:tcBorders>
              <w:top w:val="single" w:sz="4" w:space="0" w:color="000000"/>
              <w:left w:val="single" w:sz="4" w:space="0" w:color="000000"/>
              <w:bottom w:val="single" w:sz="4" w:space="0" w:color="000000"/>
              <w:right w:val="single" w:sz="4" w:space="0" w:color="000000"/>
            </w:tcBorders>
            <w:shd w:val="clear" w:color="auto" w:fill="E7E6E6"/>
            <w:tcMar>
              <w:top w:w="0" w:type="dxa"/>
              <w:left w:w="115" w:type="dxa"/>
              <w:bottom w:w="0" w:type="dxa"/>
              <w:right w:w="115" w:type="dxa"/>
            </w:tcMar>
          </w:tcPr>
          <w:p w14:paraId="2929A1E9" w14:textId="77777777" w:rsidR="001C332B" w:rsidRDefault="008352E7">
            <w:r>
              <w:rPr>
                <w:b/>
              </w:rPr>
              <w:t>Mal d 2</w:t>
            </w:r>
          </w:p>
        </w:tc>
        <w:tc>
          <w:tcPr>
            <w:tcW w:w="1725" w:type="dxa"/>
            <w:tcBorders>
              <w:top w:val="nil"/>
              <w:left w:val="single" w:sz="8" w:space="0" w:color="000000"/>
              <w:bottom w:val="single" w:sz="4" w:space="0" w:color="000000"/>
              <w:right w:val="single" w:sz="8" w:space="0" w:color="000000"/>
            </w:tcBorders>
            <w:shd w:val="clear" w:color="auto" w:fill="auto"/>
            <w:tcMar>
              <w:top w:w="0" w:type="dxa"/>
              <w:left w:w="115" w:type="dxa"/>
              <w:bottom w:w="0" w:type="dxa"/>
              <w:right w:w="115" w:type="dxa"/>
            </w:tcMar>
            <w:vAlign w:val="center"/>
          </w:tcPr>
          <w:p w14:paraId="3D352131" w14:textId="77777777" w:rsidR="001C332B" w:rsidRDefault="008352E7">
            <w:pPr>
              <w:jc w:val="center"/>
            </w:pPr>
            <w:r>
              <w:t>0.884</w:t>
            </w:r>
          </w:p>
        </w:tc>
        <w:tc>
          <w:tcPr>
            <w:tcW w:w="1575" w:type="dxa"/>
            <w:tcBorders>
              <w:top w:val="nil"/>
              <w:left w:val="single" w:sz="8" w:space="0" w:color="000000"/>
              <w:bottom w:val="single" w:sz="4" w:space="0" w:color="000000"/>
              <w:right w:val="single" w:sz="8" w:space="0" w:color="000000"/>
            </w:tcBorders>
          </w:tcPr>
          <w:p w14:paraId="3A471B75" w14:textId="77777777" w:rsidR="001C332B" w:rsidRDefault="008352E7">
            <w:pPr>
              <w:jc w:val="center"/>
              <w:rPr>
                <w:b/>
              </w:rPr>
            </w:pPr>
            <w:r>
              <w:rPr>
                <w:b/>
              </w:rPr>
              <w:t>-0.88</w:t>
            </w:r>
          </w:p>
        </w:tc>
        <w:tc>
          <w:tcPr>
            <w:tcW w:w="144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14:paraId="54F53C5B" w14:textId="77777777" w:rsidR="001C332B" w:rsidRDefault="008352E7">
            <w:pPr>
              <w:jc w:val="center"/>
            </w:pPr>
            <w:r>
              <w:t>-0.399</w:t>
            </w:r>
            <w:r w:rsidR="0023095A">
              <w:rPr>
                <w:rFonts w:ascii="Arial" w:eastAsia="Arial" w:hAnsi="Arial" w:cs="Arial"/>
                <w:color w:val="1C1D1E"/>
                <w:sz w:val="21"/>
                <w:szCs w:val="21"/>
                <w:highlight w:val="white"/>
              </w:rPr>
              <w:t>†</w:t>
            </w:r>
          </w:p>
        </w:tc>
      </w:tr>
      <w:tr w:rsidR="001C332B" w14:paraId="5D93FD86" w14:textId="77777777">
        <w:trPr>
          <w:trHeight w:val="227"/>
        </w:trPr>
        <w:tc>
          <w:tcPr>
            <w:tcW w:w="2310" w:type="dxa"/>
            <w:vMerge/>
            <w:tcBorders>
              <w:top w:val="single" w:sz="4" w:space="0" w:color="000000"/>
              <w:left w:val="single" w:sz="4" w:space="0" w:color="000000"/>
              <w:right w:val="single" w:sz="4" w:space="0" w:color="000000"/>
            </w:tcBorders>
          </w:tcPr>
          <w:p w14:paraId="6ADD10E5" w14:textId="77777777" w:rsidR="001C332B" w:rsidRDefault="001C332B">
            <w:pPr>
              <w:widowControl w:val="0"/>
              <w:spacing w:line="276" w:lineRule="auto"/>
            </w:pPr>
          </w:p>
        </w:tc>
        <w:tc>
          <w:tcPr>
            <w:tcW w:w="2025" w:type="dxa"/>
            <w:tcBorders>
              <w:top w:val="single" w:sz="4" w:space="0" w:color="000000"/>
              <w:left w:val="single" w:sz="4" w:space="0" w:color="000000"/>
              <w:bottom w:val="single" w:sz="4" w:space="0" w:color="000000"/>
              <w:right w:val="single" w:sz="4" w:space="0" w:color="000000"/>
            </w:tcBorders>
            <w:shd w:val="clear" w:color="auto" w:fill="E7E6E6"/>
            <w:tcMar>
              <w:top w:w="0" w:type="dxa"/>
              <w:left w:w="115" w:type="dxa"/>
              <w:bottom w:w="0" w:type="dxa"/>
              <w:right w:w="115" w:type="dxa"/>
            </w:tcMar>
          </w:tcPr>
          <w:p w14:paraId="3DDE0020" w14:textId="77777777" w:rsidR="001C332B" w:rsidRDefault="008352E7">
            <w:r>
              <w:rPr>
                <w:b/>
              </w:rPr>
              <w:t>Mal d 3</w:t>
            </w:r>
          </w:p>
        </w:tc>
        <w:tc>
          <w:tcPr>
            <w:tcW w:w="1725" w:type="dxa"/>
            <w:tcBorders>
              <w:top w:val="nil"/>
              <w:left w:val="single" w:sz="8" w:space="0" w:color="000000"/>
              <w:bottom w:val="single" w:sz="4" w:space="0" w:color="000000"/>
              <w:right w:val="single" w:sz="8" w:space="0" w:color="000000"/>
            </w:tcBorders>
            <w:shd w:val="clear" w:color="auto" w:fill="auto"/>
            <w:tcMar>
              <w:top w:w="0" w:type="dxa"/>
              <w:left w:w="115" w:type="dxa"/>
              <w:bottom w:w="0" w:type="dxa"/>
              <w:right w:w="115" w:type="dxa"/>
            </w:tcMar>
            <w:vAlign w:val="center"/>
          </w:tcPr>
          <w:p w14:paraId="08B7AADD" w14:textId="77777777" w:rsidR="001C332B" w:rsidRDefault="008352E7">
            <w:pPr>
              <w:jc w:val="center"/>
            </w:pPr>
            <w:r>
              <w:t>0.989</w:t>
            </w:r>
          </w:p>
        </w:tc>
        <w:tc>
          <w:tcPr>
            <w:tcW w:w="1575" w:type="dxa"/>
            <w:tcBorders>
              <w:top w:val="nil"/>
              <w:left w:val="single" w:sz="8" w:space="0" w:color="000000"/>
              <w:bottom w:val="single" w:sz="4" w:space="0" w:color="000000"/>
              <w:right w:val="single" w:sz="8" w:space="0" w:color="000000"/>
            </w:tcBorders>
          </w:tcPr>
          <w:p w14:paraId="09228E98" w14:textId="77777777" w:rsidR="001C332B" w:rsidRDefault="008352E7">
            <w:pPr>
              <w:jc w:val="center"/>
            </w:pPr>
            <w:r>
              <w:t>0.948</w:t>
            </w:r>
          </w:p>
        </w:tc>
        <w:tc>
          <w:tcPr>
            <w:tcW w:w="144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14:paraId="0DC51A70" w14:textId="77777777" w:rsidR="001C332B" w:rsidRDefault="008352E7">
            <w:pPr>
              <w:jc w:val="center"/>
            </w:pPr>
            <w:r>
              <w:t>0.991</w:t>
            </w:r>
          </w:p>
        </w:tc>
      </w:tr>
      <w:tr w:rsidR="001C332B" w14:paraId="44374A03" w14:textId="77777777">
        <w:trPr>
          <w:trHeight w:val="227"/>
        </w:trPr>
        <w:tc>
          <w:tcPr>
            <w:tcW w:w="2310" w:type="dxa"/>
            <w:vMerge w:val="restart"/>
            <w:tcBorders>
              <w:top w:val="single" w:sz="4" w:space="0" w:color="000000"/>
              <w:left w:val="single" w:sz="4" w:space="0" w:color="000000"/>
              <w:right w:val="single" w:sz="4" w:space="0" w:color="000000"/>
            </w:tcBorders>
          </w:tcPr>
          <w:p w14:paraId="1171D86C" w14:textId="77777777" w:rsidR="001C332B" w:rsidRDefault="008352E7">
            <w:r>
              <w:rPr>
                <w:b/>
              </w:rPr>
              <w:lastRenderedPageBreak/>
              <w:t>Peach</w:t>
            </w:r>
          </w:p>
        </w:tc>
        <w:tc>
          <w:tcPr>
            <w:tcW w:w="2025" w:type="dxa"/>
            <w:tcBorders>
              <w:top w:val="single" w:sz="4" w:space="0" w:color="000000"/>
              <w:left w:val="single" w:sz="4" w:space="0" w:color="000000"/>
              <w:bottom w:val="single" w:sz="4" w:space="0" w:color="000000"/>
              <w:right w:val="single" w:sz="4" w:space="0" w:color="000000"/>
            </w:tcBorders>
            <w:shd w:val="clear" w:color="auto" w:fill="E7E6E6"/>
            <w:tcMar>
              <w:top w:w="0" w:type="dxa"/>
              <w:left w:w="115" w:type="dxa"/>
              <w:bottom w:w="0" w:type="dxa"/>
              <w:right w:w="115" w:type="dxa"/>
            </w:tcMar>
          </w:tcPr>
          <w:p w14:paraId="5788596F" w14:textId="77777777" w:rsidR="001C332B" w:rsidRDefault="008352E7">
            <w:proofErr w:type="spellStart"/>
            <w:r>
              <w:rPr>
                <w:b/>
              </w:rPr>
              <w:t>Pru</w:t>
            </w:r>
            <w:proofErr w:type="spellEnd"/>
            <w:r>
              <w:rPr>
                <w:b/>
              </w:rPr>
              <w:t xml:space="preserve"> p 3</w:t>
            </w:r>
          </w:p>
        </w:tc>
        <w:tc>
          <w:tcPr>
            <w:tcW w:w="1725" w:type="dxa"/>
            <w:tcBorders>
              <w:top w:val="single" w:sz="4" w:space="0" w:color="000000"/>
              <w:left w:val="single" w:sz="8" w:space="0" w:color="000000"/>
              <w:bottom w:val="single" w:sz="4" w:space="0" w:color="000000"/>
              <w:right w:val="single" w:sz="8" w:space="0" w:color="000000"/>
            </w:tcBorders>
            <w:shd w:val="clear" w:color="auto" w:fill="auto"/>
            <w:tcMar>
              <w:top w:w="0" w:type="dxa"/>
              <w:left w:w="115" w:type="dxa"/>
              <w:bottom w:w="0" w:type="dxa"/>
              <w:right w:w="115" w:type="dxa"/>
            </w:tcMar>
            <w:vAlign w:val="center"/>
          </w:tcPr>
          <w:p w14:paraId="24DBEBFD" w14:textId="77777777" w:rsidR="001C332B" w:rsidRDefault="008352E7">
            <w:pPr>
              <w:jc w:val="center"/>
            </w:pPr>
            <w:r>
              <w:t>0.972</w:t>
            </w:r>
          </w:p>
        </w:tc>
        <w:tc>
          <w:tcPr>
            <w:tcW w:w="1575" w:type="dxa"/>
            <w:tcBorders>
              <w:top w:val="single" w:sz="4" w:space="0" w:color="000000"/>
              <w:left w:val="single" w:sz="8" w:space="0" w:color="000000"/>
              <w:bottom w:val="single" w:sz="4" w:space="0" w:color="000000"/>
              <w:right w:val="single" w:sz="8" w:space="0" w:color="000000"/>
            </w:tcBorders>
          </w:tcPr>
          <w:p w14:paraId="23F91BA2" w14:textId="77777777" w:rsidR="001C332B" w:rsidRDefault="008352E7">
            <w:pPr>
              <w:jc w:val="center"/>
              <w:rPr>
                <w:b/>
              </w:rPr>
            </w:pPr>
            <w:r>
              <w:rPr>
                <w:b/>
              </w:rPr>
              <w:t>-0.390</w:t>
            </w:r>
          </w:p>
        </w:tc>
        <w:tc>
          <w:tcPr>
            <w:tcW w:w="144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14:paraId="26A5DDB6" w14:textId="77777777" w:rsidR="001C332B" w:rsidRDefault="008352E7">
            <w:pPr>
              <w:jc w:val="center"/>
            </w:pPr>
            <w:r>
              <w:t>0.998</w:t>
            </w:r>
          </w:p>
        </w:tc>
      </w:tr>
      <w:tr w:rsidR="001C332B" w14:paraId="7B98C26B" w14:textId="77777777">
        <w:trPr>
          <w:trHeight w:val="227"/>
        </w:trPr>
        <w:tc>
          <w:tcPr>
            <w:tcW w:w="2310" w:type="dxa"/>
            <w:vMerge/>
            <w:tcBorders>
              <w:top w:val="single" w:sz="4" w:space="0" w:color="000000"/>
              <w:left w:val="single" w:sz="4" w:space="0" w:color="000000"/>
              <w:right w:val="single" w:sz="4" w:space="0" w:color="000000"/>
            </w:tcBorders>
          </w:tcPr>
          <w:p w14:paraId="181F2617" w14:textId="77777777" w:rsidR="001C332B" w:rsidRDefault="001C332B">
            <w:pPr>
              <w:widowControl w:val="0"/>
              <w:spacing w:line="276" w:lineRule="auto"/>
            </w:pPr>
          </w:p>
        </w:tc>
        <w:tc>
          <w:tcPr>
            <w:tcW w:w="2025" w:type="dxa"/>
            <w:tcBorders>
              <w:top w:val="single" w:sz="4" w:space="0" w:color="000000"/>
              <w:left w:val="single" w:sz="4" w:space="0" w:color="000000"/>
              <w:bottom w:val="single" w:sz="4" w:space="0" w:color="000000"/>
              <w:right w:val="single" w:sz="4" w:space="0" w:color="000000"/>
            </w:tcBorders>
            <w:shd w:val="clear" w:color="auto" w:fill="E7E6E6"/>
            <w:tcMar>
              <w:top w:w="0" w:type="dxa"/>
              <w:left w:w="115" w:type="dxa"/>
              <w:bottom w:w="0" w:type="dxa"/>
              <w:right w:w="115" w:type="dxa"/>
            </w:tcMar>
          </w:tcPr>
          <w:p w14:paraId="7E050164" w14:textId="77777777" w:rsidR="001C332B" w:rsidRDefault="008352E7">
            <w:proofErr w:type="spellStart"/>
            <w:r>
              <w:rPr>
                <w:b/>
              </w:rPr>
              <w:t>Pru</w:t>
            </w:r>
            <w:proofErr w:type="spellEnd"/>
            <w:r>
              <w:rPr>
                <w:b/>
              </w:rPr>
              <w:t xml:space="preserve"> p 7 RUO</w:t>
            </w:r>
          </w:p>
        </w:tc>
        <w:tc>
          <w:tcPr>
            <w:tcW w:w="1725" w:type="dxa"/>
            <w:tcBorders>
              <w:top w:val="nil"/>
              <w:left w:val="single" w:sz="8" w:space="0" w:color="000000"/>
              <w:bottom w:val="single" w:sz="4" w:space="0" w:color="000000"/>
              <w:right w:val="single" w:sz="8" w:space="0" w:color="000000"/>
            </w:tcBorders>
            <w:shd w:val="clear" w:color="auto" w:fill="auto"/>
            <w:tcMar>
              <w:top w:w="0" w:type="dxa"/>
              <w:left w:w="115" w:type="dxa"/>
              <w:bottom w:w="0" w:type="dxa"/>
              <w:right w:w="115" w:type="dxa"/>
            </w:tcMar>
            <w:vAlign w:val="center"/>
          </w:tcPr>
          <w:p w14:paraId="21134CA5" w14:textId="77777777" w:rsidR="001C332B" w:rsidRDefault="008352E7">
            <w:pPr>
              <w:jc w:val="center"/>
            </w:pPr>
            <w:r>
              <w:t>0.233</w:t>
            </w:r>
            <w:r>
              <w:rPr>
                <w:rFonts w:ascii="Arial" w:eastAsia="Arial" w:hAnsi="Arial" w:cs="Arial"/>
                <w:color w:val="1C1D1E"/>
                <w:sz w:val="21"/>
                <w:szCs w:val="21"/>
                <w:highlight w:val="white"/>
              </w:rPr>
              <w:t>†</w:t>
            </w:r>
          </w:p>
        </w:tc>
        <w:tc>
          <w:tcPr>
            <w:tcW w:w="1575" w:type="dxa"/>
            <w:tcBorders>
              <w:top w:val="nil"/>
              <w:left w:val="single" w:sz="8" w:space="0" w:color="000000"/>
              <w:bottom w:val="single" w:sz="4" w:space="0" w:color="000000"/>
              <w:right w:val="single" w:sz="8" w:space="0" w:color="000000"/>
            </w:tcBorders>
          </w:tcPr>
          <w:p w14:paraId="7C701E65" w14:textId="77777777" w:rsidR="001C332B" w:rsidRDefault="008352E7">
            <w:pPr>
              <w:jc w:val="center"/>
            </w:pPr>
            <w:r>
              <w:t>0.737</w:t>
            </w:r>
            <w:r>
              <w:rPr>
                <w:rFonts w:ascii="Arial" w:eastAsia="Arial" w:hAnsi="Arial" w:cs="Arial"/>
                <w:color w:val="1C1D1E"/>
                <w:sz w:val="21"/>
                <w:szCs w:val="21"/>
                <w:highlight w:val="white"/>
              </w:rPr>
              <w:t>†</w:t>
            </w:r>
          </w:p>
        </w:tc>
        <w:tc>
          <w:tcPr>
            <w:tcW w:w="144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14:paraId="744AFB54" w14:textId="77777777" w:rsidR="001C332B" w:rsidRDefault="008352E7">
            <w:pPr>
              <w:jc w:val="center"/>
            </w:pPr>
            <w:r>
              <w:t>0</w:t>
            </w:r>
            <w:r>
              <w:rPr>
                <w:rFonts w:ascii="Arial" w:eastAsia="Arial" w:hAnsi="Arial" w:cs="Arial"/>
                <w:color w:val="1C1D1E"/>
                <w:sz w:val="21"/>
                <w:szCs w:val="21"/>
                <w:highlight w:val="white"/>
              </w:rPr>
              <w:t>†</w:t>
            </w:r>
          </w:p>
        </w:tc>
      </w:tr>
      <w:tr w:rsidR="001C332B" w14:paraId="5E71EAB1" w14:textId="77777777">
        <w:trPr>
          <w:trHeight w:val="227"/>
        </w:trPr>
        <w:tc>
          <w:tcPr>
            <w:tcW w:w="2310" w:type="dxa"/>
            <w:vMerge w:val="restart"/>
            <w:tcBorders>
              <w:top w:val="single" w:sz="4" w:space="0" w:color="000000"/>
              <w:left w:val="single" w:sz="4" w:space="0" w:color="000000"/>
              <w:right w:val="single" w:sz="4" w:space="0" w:color="000000"/>
            </w:tcBorders>
          </w:tcPr>
          <w:p w14:paraId="2E677B48" w14:textId="77777777" w:rsidR="001C332B" w:rsidRDefault="008352E7">
            <w:pPr>
              <w:rPr>
                <w:b/>
              </w:rPr>
            </w:pPr>
            <w:r>
              <w:rPr>
                <w:b/>
              </w:rPr>
              <w:t>Hazelnut</w:t>
            </w:r>
          </w:p>
        </w:tc>
        <w:tc>
          <w:tcPr>
            <w:tcW w:w="2025" w:type="dxa"/>
            <w:tcBorders>
              <w:top w:val="single" w:sz="4" w:space="0" w:color="000000"/>
              <w:left w:val="single" w:sz="4" w:space="0" w:color="000000"/>
              <w:bottom w:val="single" w:sz="4" w:space="0" w:color="000000"/>
              <w:right w:val="single" w:sz="4" w:space="0" w:color="000000"/>
            </w:tcBorders>
            <w:shd w:val="clear" w:color="auto" w:fill="E7E6E6"/>
            <w:tcMar>
              <w:top w:w="0" w:type="dxa"/>
              <w:left w:w="115" w:type="dxa"/>
              <w:bottom w:w="0" w:type="dxa"/>
              <w:right w:w="115" w:type="dxa"/>
            </w:tcMar>
          </w:tcPr>
          <w:p w14:paraId="52F14F19" w14:textId="77777777" w:rsidR="001C332B" w:rsidRDefault="008352E7">
            <w:r>
              <w:rPr>
                <w:b/>
              </w:rPr>
              <w:t>Cor a 1.0401</w:t>
            </w:r>
          </w:p>
        </w:tc>
        <w:tc>
          <w:tcPr>
            <w:tcW w:w="1725" w:type="dxa"/>
            <w:tcBorders>
              <w:top w:val="single" w:sz="4" w:space="0" w:color="000000"/>
              <w:left w:val="single" w:sz="8" w:space="0" w:color="000000"/>
              <w:bottom w:val="single" w:sz="4" w:space="0" w:color="000000"/>
              <w:right w:val="single" w:sz="8" w:space="0" w:color="000000"/>
            </w:tcBorders>
            <w:shd w:val="clear" w:color="auto" w:fill="auto"/>
            <w:tcMar>
              <w:top w:w="0" w:type="dxa"/>
              <w:left w:w="115" w:type="dxa"/>
              <w:bottom w:w="0" w:type="dxa"/>
              <w:right w:w="115" w:type="dxa"/>
            </w:tcMar>
            <w:vAlign w:val="center"/>
          </w:tcPr>
          <w:p w14:paraId="0E745909" w14:textId="77777777" w:rsidR="001C332B" w:rsidRDefault="008352E7">
            <w:pPr>
              <w:jc w:val="center"/>
            </w:pPr>
            <w:r>
              <w:t>0.981</w:t>
            </w:r>
          </w:p>
        </w:tc>
        <w:tc>
          <w:tcPr>
            <w:tcW w:w="1575" w:type="dxa"/>
            <w:tcBorders>
              <w:top w:val="single" w:sz="4" w:space="0" w:color="000000"/>
              <w:left w:val="single" w:sz="8" w:space="0" w:color="000000"/>
              <w:bottom w:val="single" w:sz="4" w:space="0" w:color="000000"/>
              <w:right w:val="single" w:sz="8" w:space="0" w:color="000000"/>
            </w:tcBorders>
          </w:tcPr>
          <w:p w14:paraId="208877C7" w14:textId="77777777" w:rsidR="001C332B" w:rsidRDefault="008352E7">
            <w:pPr>
              <w:jc w:val="center"/>
            </w:pPr>
            <w:r>
              <w:t>0.966</w:t>
            </w:r>
          </w:p>
        </w:tc>
        <w:tc>
          <w:tcPr>
            <w:tcW w:w="144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14:paraId="2E67C80A" w14:textId="77777777" w:rsidR="001C332B" w:rsidRDefault="008352E7">
            <w:pPr>
              <w:jc w:val="center"/>
            </w:pPr>
            <w:r>
              <w:t>0.969</w:t>
            </w:r>
          </w:p>
        </w:tc>
      </w:tr>
      <w:tr w:rsidR="001C332B" w14:paraId="0D604E43" w14:textId="77777777">
        <w:trPr>
          <w:trHeight w:val="227"/>
        </w:trPr>
        <w:tc>
          <w:tcPr>
            <w:tcW w:w="2310" w:type="dxa"/>
            <w:vMerge/>
            <w:tcBorders>
              <w:top w:val="single" w:sz="4" w:space="0" w:color="000000"/>
              <w:left w:val="single" w:sz="4" w:space="0" w:color="000000"/>
              <w:right w:val="single" w:sz="4" w:space="0" w:color="000000"/>
            </w:tcBorders>
          </w:tcPr>
          <w:p w14:paraId="534577F1" w14:textId="77777777" w:rsidR="001C332B" w:rsidRDefault="001C332B">
            <w:pPr>
              <w:widowControl w:val="0"/>
              <w:spacing w:line="276" w:lineRule="auto"/>
            </w:pPr>
          </w:p>
        </w:tc>
        <w:tc>
          <w:tcPr>
            <w:tcW w:w="2025" w:type="dxa"/>
            <w:tcBorders>
              <w:top w:val="single" w:sz="4" w:space="0" w:color="000000"/>
              <w:left w:val="single" w:sz="4" w:space="0" w:color="000000"/>
              <w:bottom w:val="single" w:sz="4" w:space="0" w:color="000000"/>
              <w:right w:val="single" w:sz="4" w:space="0" w:color="000000"/>
            </w:tcBorders>
            <w:shd w:val="clear" w:color="auto" w:fill="E7E6E6"/>
            <w:tcMar>
              <w:top w:w="0" w:type="dxa"/>
              <w:left w:w="115" w:type="dxa"/>
              <w:bottom w:w="0" w:type="dxa"/>
              <w:right w:w="115" w:type="dxa"/>
            </w:tcMar>
          </w:tcPr>
          <w:p w14:paraId="2B174B1E" w14:textId="77777777" w:rsidR="001C332B" w:rsidRDefault="008352E7">
            <w:r>
              <w:rPr>
                <w:b/>
              </w:rPr>
              <w:t>Cor a 8</w:t>
            </w:r>
          </w:p>
        </w:tc>
        <w:tc>
          <w:tcPr>
            <w:tcW w:w="1725" w:type="dxa"/>
            <w:tcBorders>
              <w:top w:val="nil"/>
              <w:left w:val="single" w:sz="8" w:space="0" w:color="000000"/>
              <w:bottom w:val="single" w:sz="4" w:space="0" w:color="000000"/>
              <w:right w:val="single" w:sz="8" w:space="0" w:color="000000"/>
            </w:tcBorders>
            <w:shd w:val="clear" w:color="auto" w:fill="auto"/>
            <w:tcMar>
              <w:top w:w="0" w:type="dxa"/>
              <w:left w:w="115" w:type="dxa"/>
              <w:bottom w:w="0" w:type="dxa"/>
              <w:right w:w="115" w:type="dxa"/>
            </w:tcMar>
            <w:vAlign w:val="center"/>
          </w:tcPr>
          <w:p w14:paraId="37A98D53" w14:textId="77777777" w:rsidR="001C332B" w:rsidRDefault="008352E7">
            <w:pPr>
              <w:jc w:val="center"/>
            </w:pPr>
            <w:r>
              <w:t>0.993</w:t>
            </w:r>
          </w:p>
        </w:tc>
        <w:tc>
          <w:tcPr>
            <w:tcW w:w="1575" w:type="dxa"/>
            <w:tcBorders>
              <w:top w:val="nil"/>
              <w:left w:val="single" w:sz="8" w:space="0" w:color="000000"/>
              <w:bottom w:val="single" w:sz="4" w:space="0" w:color="000000"/>
              <w:right w:val="single" w:sz="8" w:space="0" w:color="000000"/>
            </w:tcBorders>
          </w:tcPr>
          <w:p w14:paraId="7E9F714E" w14:textId="77777777" w:rsidR="001C332B" w:rsidRDefault="008352E7">
            <w:pPr>
              <w:jc w:val="center"/>
            </w:pPr>
            <w:r>
              <w:t>0.996</w:t>
            </w:r>
          </w:p>
        </w:tc>
        <w:tc>
          <w:tcPr>
            <w:tcW w:w="144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14:paraId="45CABA77" w14:textId="77777777" w:rsidR="001C332B" w:rsidRDefault="008352E7">
            <w:pPr>
              <w:jc w:val="center"/>
            </w:pPr>
            <w:r>
              <w:t>0.998</w:t>
            </w:r>
          </w:p>
        </w:tc>
      </w:tr>
      <w:tr w:rsidR="001C332B" w14:paraId="73B61E2F" w14:textId="77777777">
        <w:trPr>
          <w:trHeight w:val="227"/>
        </w:trPr>
        <w:tc>
          <w:tcPr>
            <w:tcW w:w="2310" w:type="dxa"/>
            <w:vMerge/>
            <w:tcBorders>
              <w:top w:val="single" w:sz="4" w:space="0" w:color="000000"/>
              <w:left w:val="single" w:sz="4" w:space="0" w:color="000000"/>
              <w:right w:val="single" w:sz="4" w:space="0" w:color="000000"/>
            </w:tcBorders>
          </w:tcPr>
          <w:p w14:paraId="42A70A73" w14:textId="77777777" w:rsidR="001C332B" w:rsidRDefault="001C332B">
            <w:pPr>
              <w:widowControl w:val="0"/>
              <w:spacing w:line="276" w:lineRule="auto"/>
            </w:pPr>
          </w:p>
        </w:tc>
        <w:tc>
          <w:tcPr>
            <w:tcW w:w="2025" w:type="dxa"/>
            <w:tcBorders>
              <w:top w:val="single" w:sz="4" w:space="0" w:color="000000"/>
              <w:left w:val="single" w:sz="4" w:space="0" w:color="000000"/>
              <w:bottom w:val="single" w:sz="4" w:space="0" w:color="000000"/>
              <w:right w:val="single" w:sz="4" w:space="0" w:color="000000"/>
            </w:tcBorders>
            <w:shd w:val="clear" w:color="auto" w:fill="E7E6E6"/>
            <w:tcMar>
              <w:top w:w="0" w:type="dxa"/>
              <w:left w:w="115" w:type="dxa"/>
              <w:bottom w:w="0" w:type="dxa"/>
              <w:right w:w="115" w:type="dxa"/>
            </w:tcMar>
          </w:tcPr>
          <w:p w14:paraId="1D48BAC4" w14:textId="77777777" w:rsidR="001C332B" w:rsidRDefault="008352E7">
            <w:r>
              <w:rPr>
                <w:b/>
              </w:rPr>
              <w:t>Cor a 9</w:t>
            </w:r>
          </w:p>
        </w:tc>
        <w:tc>
          <w:tcPr>
            <w:tcW w:w="1725" w:type="dxa"/>
            <w:tcBorders>
              <w:top w:val="nil"/>
              <w:left w:val="single" w:sz="8" w:space="0" w:color="000000"/>
              <w:bottom w:val="single" w:sz="4" w:space="0" w:color="000000"/>
              <w:right w:val="single" w:sz="8" w:space="0" w:color="000000"/>
            </w:tcBorders>
            <w:shd w:val="clear" w:color="auto" w:fill="auto"/>
            <w:tcMar>
              <w:top w:w="0" w:type="dxa"/>
              <w:left w:w="115" w:type="dxa"/>
              <w:bottom w:w="0" w:type="dxa"/>
              <w:right w:w="115" w:type="dxa"/>
            </w:tcMar>
            <w:vAlign w:val="center"/>
          </w:tcPr>
          <w:p w14:paraId="0A31B4A4" w14:textId="77777777" w:rsidR="001C332B" w:rsidRDefault="008352E7">
            <w:pPr>
              <w:jc w:val="center"/>
            </w:pPr>
            <w:r>
              <w:t>0.989</w:t>
            </w:r>
          </w:p>
        </w:tc>
        <w:tc>
          <w:tcPr>
            <w:tcW w:w="1575" w:type="dxa"/>
            <w:tcBorders>
              <w:top w:val="nil"/>
              <w:left w:val="single" w:sz="8" w:space="0" w:color="000000"/>
              <w:bottom w:val="single" w:sz="4" w:space="0" w:color="000000"/>
              <w:right w:val="single" w:sz="8" w:space="0" w:color="000000"/>
            </w:tcBorders>
          </w:tcPr>
          <w:p w14:paraId="2FEBBD56" w14:textId="77777777" w:rsidR="001C332B" w:rsidRDefault="008352E7">
            <w:pPr>
              <w:jc w:val="center"/>
            </w:pPr>
            <w:r>
              <w:t>0.958</w:t>
            </w:r>
          </w:p>
        </w:tc>
        <w:tc>
          <w:tcPr>
            <w:tcW w:w="144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14:paraId="01CB6A35" w14:textId="77777777" w:rsidR="001C332B" w:rsidRDefault="008352E7">
            <w:pPr>
              <w:jc w:val="center"/>
            </w:pPr>
            <w:r>
              <w:t>0.994</w:t>
            </w:r>
          </w:p>
        </w:tc>
      </w:tr>
      <w:tr w:rsidR="001C332B" w14:paraId="45814C8D" w14:textId="77777777">
        <w:trPr>
          <w:trHeight w:val="227"/>
        </w:trPr>
        <w:tc>
          <w:tcPr>
            <w:tcW w:w="2310" w:type="dxa"/>
            <w:vMerge/>
            <w:tcBorders>
              <w:top w:val="single" w:sz="4" w:space="0" w:color="000000"/>
              <w:left w:val="single" w:sz="4" w:space="0" w:color="000000"/>
              <w:right w:val="single" w:sz="4" w:space="0" w:color="000000"/>
            </w:tcBorders>
          </w:tcPr>
          <w:p w14:paraId="2CB0F45A" w14:textId="77777777" w:rsidR="001C332B" w:rsidRDefault="001C332B">
            <w:pPr>
              <w:widowControl w:val="0"/>
              <w:spacing w:line="276" w:lineRule="auto"/>
            </w:pPr>
          </w:p>
        </w:tc>
        <w:tc>
          <w:tcPr>
            <w:tcW w:w="2025" w:type="dxa"/>
            <w:tcBorders>
              <w:top w:val="single" w:sz="4" w:space="0" w:color="000000"/>
              <w:left w:val="single" w:sz="4" w:space="0" w:color="000000"/>
              <w:bottom w:val="single" w:sz="4" w:space="0" w:color="000000"/>
              <w:right w:val="single" w:sz="4" w:space="0" w:color="000000"/>
            </w:tcBorders>
            <w:shd w:val="clear" w:color="auto" w:fill="E7E6E6"/>
            <w:tcMar>
              <w:top w:w="0" w:type="dxa"/>
              <w:left w:w="115" w:type="dxa"/>
              <w:bottom w:w="0" w:type="dxa"/>
              <w:right w:w="115" w:type="dxa"/>
            </w:tcMar>
          </w:tcPr>
          <w:p w14:paraId="1B9AF43E" w14:textId="77777777" w:rsidR="001C332B" w:rsidRDefault="008352E7">
            <w:r>
              <w:rPr>
                <w:b/>
              </w:rPr>
              <w:t>Cor a 11</w:t>
            </w:r>
          </w:p>
        </w:tc>
        <w:tc>
          <w:tcPr>
            <w:tcW w:w="1725" w:type="dxa"/>
            <w:tcBorders>
              <w:top w:val="nil"/>
              <w:left w:val="single" w:sz="8" w:space="0" w:color="000000"/>
              <w:bottom w:val="single" w:sz="4" w:space="0" w:color="000000"/>
              <w:right w:val="single" w:sz="8" w:space="0" w:color="000000"/>
            </w:tcBorders>
            <w:shd w:val="clear" w:color="auto" w:fill="auto"/>
            <w:tcMar>
              <w:top w:w="0" w:type="dxa"/>
              <w:left w:w="115" w:type="dxa"/>
              <w:bottom w:w="0" w:type="dxa"/>
              <w:right w:w="115" w:type="dxa"/>
            </w:tcMar>
            <w:vAlign w:val="center"/>
          </w:tcPr>
          <w:p w14:paraId="2298B64F" w14:textId="77777777" w:rsidR="001C332B" w:rsidRDefault="008352E7">
            <w:pPr>
              <w:jc w:val="center"/>
            </w:pPr>
            <w:r>
              <w:t>0.989</w:t>
            </w:r>
          </w:p>
        </w:tc>
        <w:tc>
          <w:tcPr>
            <w:tcW w:w="1575" w:type="dxa"/>
            <w:tcBorders>
              <w:top w:val="nil"/>
              <w:left w:val="single" w:sz="8" w:space="0" w:color="000000"/>
              <w:bottom w:val="single" w:sz="4" w:space="0" w:color="000000"/>
              <w:right w:val="single" w:sz="8" w:space="0" w:color="000000"/>
            </w:tcBorders>
          </w:tcPr>
          <w:p w14:paraId="5796A8A0" w14:textId="77777777" w:rsidR="001C332B" w:rsidRDefault="008352E7">
            <w:pPr>
              <w:jc w:val="center"/>
            </w:pPr>
            <w:r>
              <w:t>0.999</w:t>
            </w:r>
          </w:p>
        </w:tc>
        <w:tc>
          <w:tcPr>
            <w:tcW w:w="144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14:paraId="49CFD73E" w14:textId="77777777" w:rsidR="001C332B" w:rsidRDefault="008352E7">
            <w:pPr>
              <w:jc w:val="center"/>
            </w:pPr>
            <w:r>
              <w:t>0.999</w:t>
            </w:r>
          </w:p>
        </w:tc>
      </w:tr>
      <w:tr w:rsidR="001C332B" w14:paraId="1E82E384" w14:textId="77777777">
        <w:trPr>
          <w:trHeight w:val="227"/>
        </w:trPr>
        <w:tc>
          <w:tcPr>
            <w:tcW w:w="2310" w:type="dxa"/>
            <w:vMerge/>
            <w:tcBorders>
              <w:top w:val="single" w:sz="4" w:space="0" w:color="000000"/>
              <w:left w:val="single" w:sz="4" w:space="0" w:color="000000"/>
              <w:right w:val="single" w:sz="4" w:space="0" w:color="000000"/>
            </w:tcBorders>
          </w:tcPr>
          <w:p w14:paraId="0C628DB3" w14:textId="77777777" w:rsidR="001C332B" w:rsidRDefault="001C332B">
            <w:pPr>
              <w:widowControl w:val="0"/>
              <w:spacing w:line="276" w:lineRule="auto"/>
            </w:pPr>
          </w:p>
        </w:tc>
        <w:tc>
          <w:tcPr>
            <w:tcW w:w="2025" w:type="dxa"/>
            <w:tcBorders>
              <w:top w:val="single" w:sz="4" w:space="0" w:color="000000"/>
              <w:left w:val="single" w:sz="4" w:space="0" w:color="000000"/>
              <w:bottom w:val="single" w:sz="4" w:space="0" w:color="000000"/>
              <w:right w:val="single" w:sz="4" w:space="0" w:color="000000"/>
            </w:tcBorders>
            <w:shd w:val="clear" w:color="auto" w:fill="E7E6E6"/>
            <w:tcMar>
              <w:top w:w="0" w:type="dxa"/>
              <w:left w:w="115" w:type="dxa"/>
              <w:bottom w:w="0" w:type="dxa"/>
              <w:right w:w="115" w:type="dxa"/>
            </w:tcMar>
          </w:tcPr>
          <w:p w14:paraId="3BE2C2A7" w14:textId="77777777" w:rsidR="001C332B" w:rsidRDefault="008352E7">
            <w:r>
              <w:rPr>
                <w:b/>
              </w:rPr>
              <w:t>Cor a 12 RUO</w:t>
            </w:r>
          </w:p>
        </w:tc>
        <w:tc>
          <w:tcPr>
            <w:tcW w:w="1725" w:type="dxa"/>
            <w:tcBorders>
              <w:top w:val="nil"/>
              <w:left w:val="single" w:sz="8" w:space="0" w:color="000000"/>
              <w:bottom w:val="single" w:sz="4" w:space="0" w:color="000000"/>
              <w:right w:val="single" w:sz="8" w:space="0" w:color="000000"/>
            </w:tcBorders>
            <w:shd w:val="clear" w:color="auto" w:fill="auto"/>
            <w:tcMar>
              <w:top w:w="0" w:type="dxa"/>
              <w:left w:w="115" w:type="dxa"/>
              <w:bottom w:w="0" w:type="dxa"/>
              <w:right w:w="115" w:type="dxa"/>
            </w:tcMar>
            <w:vAlign w:val="center"/>
          </w:tcPr>
          <w:p w14:paraId="0552441B" w14:textId="77777777" w:rsidR="001C332B" w:rsidRDefault="008352E7">
            <w:pPr>
              <w:jc w:val="center"/>
            </w:pPr>
            <w:r>
              <w:t>0.047</w:t>
            </w:r>
            <w:r>
              <w:rPr>
                <w:rFonts w:ascii="Arial" w:eastAsia="Arial" w:hAnsi="Arial" w:cs="Arial"/>
                <w:color w:val="1C1D1E"/>
                <w:sz w:val="21"/>
                <w:szCs w:val="21"/>
                <w:highlight w:val="white"/>
              </w:rPr>
              <w:t>†</w:t>
            </w:r>
          </w:p>
        </w:tc>
        <w:tc>
          <w:tcPr>
            <w:tcW w:w="1575" w:type="dxa"/>
            <w:tcBorders>
              <w:top w:val="nil"/>
              <w:left w:val="single" w:sz="8" w:space="0" w:color="000000"/>
              <w:bottom w:val="single" w:sz="4" w:space="0" w:color="000000"/>
              <w:right w:val="single" w:sz="8" w:space="0" w:color="000000"/>
            </w:tcBorders>
          </w:tcPr>
          <w:p w14:paraId="400B8591" w14:textId="77777777" w:rsidR="001C332B" w:rsidRDefault="008352E7">
            <w:pPr>
              <w:jc w:val="center"/>
            </w:pPr>
            <w:r>
              <w:t>-0.175</w:t>
            </w:r>
            <w:r>
              <w:rPr>
                <w:rFonts w:ascii="Arial" w:eastAsia="Arial" w:hAnsi="Arial" w:cs="Arial"/>
                <w:color w:val="1C1D1E"/>
                <w:sz w:val="21"/>
                <w:szCs w:val="21"/>
                <w:highlight w:val="white"/>
              </w:rPr>
              <w:t>†</w:t>
            </w:r>
          </w:p>
        </w:tc>
        <w:tc>
          <w:tcPr>
            <w:tcW w:w="144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14:paraId="150FE9A4" w14:textId="77777777" w:rsidR="001C332B" w:rsidRDefault="008352E7">
            <w:pPr>
              <w:jc w:val="center"/>
            </w:pPr>
            <w:r>
              <w:t>0</w:t>
            </w:r>
            <w:r>
              <w:rPr>
                <w:rFonts w:ascii="Arial" w:eastAsia="Arial" w:hAnsi="Arial" w:cs="Arial"/>
                <w:color w:val="1C1D1E"/>
                <w:sz w:val="21"/>
                <w:szCs w:val="21"/>
                <w:highlight w:val="white"/>
              </w:rPr>
              <w:t>†</w:t>
            </w:r>
          </w:p>
        </w:tc>
      </w:tr>
      <w:tr w:rsidR="001C332B" w14:paraId="0272C3E1" w14:textId="77777777">
        <w:trPr>
          <w:trHeight w:val="227"/>
        </w:trPr>
        <w:tc>
          <w:tcPr>
            <w:tcW w:w="2310" w:type="dxa"/>
            <w:vMerge/>
            <w:tcBorders>
              <w:top w:val="single" w:sz="4" w:space="0" w:color="000000"/>
              <w:left w:val="single" w:sz="4" w:space="0" w:color="000000"/>
              <w:right w:val="single" w:sz="4" w:space="0" w:color="000000"/>
            </w:tcBorders>
          </w:tcPr>
          <w:p w14:paraId="1E5EF581" w14:textId="77777777" w:rsidR="001C332B" w:rsidRDefault="001C332B">
            <w:pPr>
              <w:widowControl w:val="0"/>
              <w:spacing w:line="276" w:lineRule="auto"/>
            </w:pPr>
          </w:p>
        </w:tc>
        <w:tc>
          <w:tcPr>
            <w:tcW w:w="2025" w:type="dxa"/>
            <w:tcBorders>
              <w:top w:val="single" w:sz="4" w:space="0" w:color="000000"/>
              <w:left w:val="single" w:sz="4" w:space="0" w:color="000000"/>
              <w:bottom w:val="single" w:sz="4" w:space="0" w:color="000000"/>
              <w:right w:val="single" w:sz="4" w:space="0" w:color="000000"/>
            </w:tcBorders>
            <w:shd w:val="clear" w:color="auto" w:fill="E7E6E6"/>
            <w:tcMar>
              <w:top w:w="0" w:type="dxa"/>
              <w:left w:w="115" w:type="dxa"/>
              <w:bottom w:w="0" w:type="dxa"/>
              <w:right w:w="115" w:type="dxa"/>
            </w:tcMar>
          </w:tcPr>
          <w:p w14:paraId="3BFD1255" w14:textId="77777777" w:rsidR="001C332B" w:rsidRDefault="008352E7">
            <w:pPr>
              <w:rPr>
                <w:b/>
              </w:rPr>
            </w:pPr>
            <w:r>
              <w:rPr>
                <w:b/>
              </w:rPr>
              <w:t>Cor a 14</w:t>
            </w:r>
          </w:p>
        </w:tc>
        <w:tc>
          <w:tcPr>
            <w:tcW w:w="1725" w:type="dxa"/>
            <w:tcBorders>
              <w:top w:val="nil"/>
              <w:left w:val="single" w:sz="8" w:space="0" w:color="000000"/>
              <w:bottom w:val="single" w:sz="4" w:space="0" w:color="000000"/>
              <w:right w:val="single" w:sz="8" w:space="0" w:color="000000"/>
            </w:tcBorders>
            <w:shd w:val="clear" w:color="auto" w:fill="auto"/>
            <w:tcMar>
              <w:top w:w="0" w:type="dxa"/>
              <w:left w:w="115" w:type="dxa"/>
              <w:bottom w:w="0" w:type="dxa"/>
              <w:right w:w="115" w:type="dxa"/>
            </w:tcMar>
            <w:vAlign w:val="center"/>
          </w:tcPr>
          <w:p w14:paraId="76B510C1" w14:textId="77777777" w:rsidR="001C332B" w:rsidRDefault="008352E7">
            <w:pPr>
              <w:jc w:val="center"/>
            </w:pPr>
            <w:r>
              <w:t>0.999</w:t>
            </w:r>
          </w:p>
        </w:tc>
        <w:tc>
          <w:tcPr>
            <w:tcW w:w="1575" w:type="dxa"/>
            <w:tcBorders>
              <w:top w:val="nil"/>
              <w:left w:val="single" w:sz="8" w:space="0" w:color="000000"/>
              <w:bottom w:val="single" w:sz="4" w:space="0" w:color="000000"/>
              <w:right w:val="single" w:sz="8" w:space="0" w:color="000000"/>
            </w:tcBorders>
          </w:tcPr>
          <w:p w14:paraId="1B50C011" w14:textId="77777777" w:rsidR="001C332B" w:rsidRDefault="008352E7">
            <w:pPr>
              <w:jc w:val="center"/>
            </w:pPr>
            <w:r>
              <w:t>0.965</w:t>
            </w:r>
          </w:p>
        </w:tc>
        <w:tc>
          <w:tcPr>
            <w:tcW w:w="144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14:paraId="03E4FAB6" w14:textId="77777777" w:rsidR="001C332B" w:rsidRDefault="008352E7">
            <w:pPr>
              <w:jc w:val="center"/>
            </w:pPr>
            <w:r>
              <w:t>0.997</w:t>
            </w:r>
          </w:p>
        </w:tc>
      </w:tr>
      <w:tr w:rsidR="001C332B" w14:paraId="36A092B0" w14:textId="77777777">
        <w:trPr>
          <w:trHeight w:val="227"/>
        </w:trPr>
        <w:tc>
          <w:tcPr>
            <w:tcW w:w="2310" w:type="dxa"/>
            <w:vMerge w:val="restart"/>
            <w:tcBorders>
              <w:top w:val="single" w:sz="4" w:space="0" w:color="000000"/>
              <w:left w:val="single" w:sz="4" w:space="0" w:color="000000"/>
              <w:right w:val="single" w:sz="4" w:space="0" w:color="000000"/>
            </w:tcBorders>
          </w:tcPr>
          <w:p w14:paraId="07D14537" w14:textId="77777777" w:rsidR="001C332B" w:rsidRDefault="008352E7">
            <w:r>
              <w:rPr>
                <w:b/>
              </w:rPr>
              <w:t>Peanut</w:t>
            </w:r>
          </w:p>
        </w:tc>
        <w:tc>
          <w:tcPr>
            <w:tcW w:w="2025" w:type="dxa"/>
            <w:tcBorders>
              <w:top w:val="single" w:sz="4" w:space="0" w:color="000000"/>
              <w:left w:val="single" w:sz="4" w:space="0" w:color="000000"/>
              <w:bottom w:val="single" w:sz="4" w:space="0" w:color="000000"/>
              <w:right w:val="single" w:sz="4" w:space="0" w:color="000000"/>
            </w:tcBorders>
            <w:shd w:val="clear" w:color="auto" w:fill="E7E6E6"/>
            <w:tcMar>
              <w:top w:w="0" w:type="dxa"/>
              <w:left w:w="115" w:type="dxa"/>
              <w:bottom w:w="0" w:type="dxa"/>
              <w:right w:w="115" w:type="dxa"/>
            </w:tcMar>
          </w:tcPr>
          <w:p w14:paraId="0259047C" w14:textId="77777777" w:rsidR="001C332B" w:rsidRDefault="008352E7">
            <w:r>
              <w:rPr>
                <w:b/>
              </w:rPr>
              <w:t>Ara h 1</w:t>
            </w:r>
          </w:p>
        </w:tc>
        <w:tc>
          <w:tcPr>
            <w:tcW w:w="1725" w:type="dxa"/>
            <w:tcBorders>
              <w:top w:val="single" w:sz="4" w:space="0" w:color="000000"/>
              <w:left w:val="single" w:sz="8" w:space="0" w:color="000000"/>
              <w:bottom w:val="single" w:sz="4" w:space="0" w:color="000000"/>
              <w:right w:val="single" w:sz="8" w:space="0" w:color="000000"/>
            </w:tcBorders>
            <w:shd w:val="clear" w:color="auto" w:fill="auto"/>
            <w:tcMar>
              <w:top w:w="0" w:type="dxa"/>
              <w:left w:w="115" w:type="dxa"/>
              <w:bottom w:w="0" w:type="dxa"/>
              <w:right w:w="115" w:type="dxa"/>
            </w:tcMar>
            <w:vAlign w:val="center"/>
          </w:tcPr>
          <w:p w14:paraId="2C0DC7AE" w14:textId="77777777" w:rsidR="001C332B" w:rsidRDefault="008352E7">
            <w:pPr>
              <w:jc w:val="center"/>
            </w:pPr>
            <w:r>
              <w:t>0.999</w:t>
            </w:r>
          </w:p>
        </w:tc>
        <w:tc>
          <w:tcPr>
            <w:tcW w:w="1575" w:type="dxa"/>
            <w:tcBorders>
              <w:top w:val="single" w:sz="4" w:space="0" w:color="000000"/>
              <w:left w:val="single" w:sz="8" w:space="0" w:color="000000"/>
              <w:bottom w:val="single" w:sz="4" w:space="0" w:color="000000"/>
              <w:right w:val="single" w:sz="8" w:space="0" w:color="000000"/>
            </w:tcBorders>
          </w:tcPr>
          <w:p w14:paraId="27B2231A" w14:textId="77777777" w:rsidR="001C332B" w:rsidRDefault="008352E7">
            <w:pPr>
              <w:jc w:val="center"/>
            </w:pPr>
            <w:r>
              <w:t>0.975</w:t>
            </w:r>
          </w:p>
        </w:tc>
        <w:tc>
          <w:tcPr>
            <w:tcW w:w="144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14:paraId="77F96B91" w14:textId="77777777" w:rsidR="001C332B" w:rsidRDefault="008352E7">
            <w:pPr>
              <w:jc w:val="center"/>
            </w:pPr>
            <w:r>
              <w:t>0.99</w:t>
            </w:r>
          </w:p>
        </w:tc>
      </w:tr>
      <w:tr w:rsidR="001C332B" w14:paraId="5D0C134C" w14:textId="77777777">
        <w:trPr>
          <w:trHeight w:val="227"/>
        </w:trPr>
        <w:tc>
          <w:tcPr>
            <w:tcW w:w="2310" w:type="dxa"/>
            <w:vMerge/>
            <w:tcBorders>
              <w:top w:val="single" w:sz="4" w:space="0" w:color="000000"/>
              <w:left w:val="single" w:sz="4" w:space="0" w:color="000000"/>
              <w:right w:val="single" w:sz="4" w:space="0" w:color="000000"/>
            </w:tcBorders>
          </w:tcPr>
          <w:p w14:paraId="49282AE6" w14:textId="77777777" w:rsidR="001C332B" w:rsidRDefault="001C332B">
            <w:pPr>
              <w:widowControl w:val="0"/>
              <w:spacing w:line="276" w:lineRule="auto"/>
            </w:pPr>
          </w:p>
        </w:tc>
        <w:tc>
          <w:tcPr>
            <w:tcW w:w="2025" w:type="dxa"/>
            <w:tcBorders>
              <w:top w:val="single" w:sz="4" w:space="0" w:color="000000"/>
              <w:left w:val="single" w:sz="4" w:space="0" w:color="000000"/>
              <w:bottom w:val="single" w:sz="4" w:space="0" w:color="000000"/>
              <w:right w:val="single" w:sz="4" w:space="0" w:color="000000"/>
            </w:tcBorders>
            <w:shd w:val="clear" w:color="auto" w:fill="E7E6E6"/>
            <w:tcMar>
              <w:top w:w="0" w:type="dxa"/>
              <w:left w:w="115" w:type="dxa"/>
              <w:bottom w:w="0" w:type="dxa"/>
              <w:right w:w="115" w:type="dxa"/>
            </w:tcMar>
          </w:tcPr>
          <w:p w14:paraId="2502A5E7" w14:textId="77777777" w:rsidR="001C332B" w:rsidRDefault="008352E7">
            <w:r>
              <w:rPr>
                <w:b/>
              </w:rPr>
              <w:t>Ara h 2</w:t>
            </w:r>
          </w:p>
        </w:tc>
        <w:tc>
          <w:tcPr>
            <w:tcW w:w="1725" w:type="dxa"/>
            <w:tcBorders>
              <w:top w:val="nil"/>
              <w:left w:val="single" w:sz="8" w:space="0" w:color="000000"/>
              <w:bottom w:val="single" w:sz="4" w:space="0" w:color="000000"/>
              <w:right w:val="single" w:sz="8" w:space="0" w:color="000000"/>
            </w:tcBorders>
            <w:shd w:val="clear" w:color="auto" w:fill="auto"/>
            <w:tcMar>
              <w:top w:w="0" w:type="dxa"/>
              <w:left w:w="115" w:type="dxa"/>
              <w:bottom w:w="0" w:type="dxa"/>
              <w:right w:w="115" w:type="dxa"/>
            </w:tcMar>
            <w:vAlign w:val="center"/>
          </w:tcPr>
          <w:p w14:paraId="71A35B6B" w14:textId="77777777" w:rsidR="001C332B" w:rsidRDefault="008352E7">
            <w:pPr>
              <w:jc w:val="center"/>
            </w:pPr>
            <w:r>
              <w:t>0.999</w:t>
            </w:r>
          </w:p>
        </w:tc>
        <w:tc>
          <w:tcPr>
            <w:tcW w:w="1575" w:type="dxa"/>
            <w:tcBorders>
              <w:top w:val="nil"/>
              <w:left w:val="single" w:sz="8" w:space="0" w:color="000000"/>
              <w:bottom w:val="single" w:sz="4" w:space="0" w:color="000000"/>
              <w:right w:val="single" w:sz="8" w:space="0" w:color="000000"/>
            </w:tcBorders>
          </w:tcPr>
          <w:p w14:paraId="22F7032C" w14:textId="77777777" w:rsidR="001C332B" w:rsidRDefault="008352E7">
            <w:pPr>
              <w:jc w:val="center"/>
            </w:pPr>
            <w:r>
              <w:t>0.989</w:t>
            </w:r>
          </w:p>
        </w:tc>
        <w:tc>
          <w:tcPr>
            <w:tcW w:w="144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14:paraId="794166A7" w14:textId="77777777" w:rsidR="001C332B" w:rsidRDefault="008352E7">
            <w:pPr>
              <w:jc w:val="center"/>
            </w:pPr>
            <w:r>
              <w:t>0.99</w:t>
            </w:r>
          </w:p>
        </w:tc>
      </w:tr>
      <w:tr w:rsidR="001C332B" w14:paraId="16EA0498" w14:textId="77777777">
        <w:trPr>
          <w:trHeight w:val="227"/>
        </w:trPr>
        <w:tc>
          <w:tcPr>
            <w:tcW w:w="2310" w:type="dxa"/>
            <w:vMerge/>
            <w:tcBorders>
              <w:top w:val="single" w:sz="4" w:space="0" w:color="000000"/>
              <w:left w:val="single" w:sz="4" w:space="0" w:color="000000"/>
              <w:right w:val="single" w:sz="4" w:space="0" w:color="000000"/>
            </w:tcBorders>
          </w:tcPr>
          <w:p w14:paraId="334D238D" w14:textId="77777777" w:rsidR="001C332B" w:rsidRDefault="001C332B">
            <w:pPr>
              <w:widowControl w:val="0"/>
              <w:spacing w:line="276" w:lineRule="auto"/>
            </w:pPr>
          </w:p>
        </w:tc>
        <w:tc>
          <w:tcPr>
            <w:tcW w:w="2025" w:type="dxa"/>
            <w:tcBorders>
              <w:top w:val="single" w:sz="4" w:space="0" w:color="000000"/>
              <w:left w:val="single" w:sz="4" w:space="0" w:color="000000"/>
              <w:bottom w:val="single" w:sz="4" w:space="0" w:color="000000"/>
              <w:right w:val="single" w:sz="4" w:space="0" w:color="000000"/>
            </w:tcBorders>
            <w:shd w:val="clear" w:color="auto" w:fill="E7E6E6"/>
            <w:tcMar>
              <w:top w:w="0" w:type="dxa"/>
              <w:left w:w="115" w:type="dxa"/>
              <w:bottom w:w="0" w:type="dxa"/>
              <w:right w:w="115" w:type="dxa"/>
            </w:tcMar>
          </w:tcPr>
          <w:p w14:paraId="3159A301" w14:textId="77777777" w:rsidR="001C332B" w:rsidRDefault="008352E7">
            <w:r>
              <w:rPr>
                <w:b/>
              </w:rPr>
              <w:t>Ara h 3</w:t>
            </w:r>
          </w:p>
        </w:tc>
        <w:tc>
          <w:tcPr>
            <w:tcW w:w="1725" w:type="dxa"/>
            <w:tcBorders>
              <w:top w:val="nil"/>
              <w:left w:val="single" w:sz="8" w:space="0" w:color="000000"/>
              <w:bottom w:val="single" w:sz="4" w:space="0" w:color="000000"/>
              <w:right w:val="single" w:sz="8" w:space="0" w:color="000000"/>
            </w:tcBorders>
            <w:shd w:val="clear" w:color="auto" w:fill="auto"/>
            <w:tcMar>
              <w:top w:w="0" w:type="dxa"/>
              <w:left w:w="115" w:type="dxa"/>
              <w:bottom w:w="0" w:type="dxa"/>
              <w:right w:w="115" w:type="dxa"/>
            </w:tcMar>
            <w:vAlign w:val="center"/>
          </w:tcPr>
          <w:p w14:paraId="56CF1B7A" w14:textId="77777777" w:rsidR="001C332B" w:rsidRDefault="008352E7">
            <w:pPr>
              <w:jc w:val="center"/>
            </w:pPr>
            <w:r>
              <w:t>0.989</w:t>
            </w:r>
          </w:p>
        </w:tc>
        <w:tc>
          <w:tcPr>
            <w:tcW w:w="1575" w:type="dxa"/>
            <w:tcBorders>
              <w:top w:val="nil"/>
              <w:left w:val="single" w:sz="8" w:space="0" w:color="000000"/>
              <w:bottom w:val="single" w:sz="4" w:space="0" w:color="000000"/>
              <w:right w:val="single" w:sz="8" w:space="0" w:color="000000"/>
            </w:tcBorders>
          </w:tcPr>
          <w:p w14:paraId="625E0769" w14:textId="77777777" w:rsidR="001C332B" w:rsidRDefault="008352E7">
            <w:pPr>
              <w:jc w:val="center"/>
            </w:pPr>
            <w:r>
              <w:t>0.981</w:t>
            </w:r>
          </w:p>
        </w:tc>
        <w:tc>
          <w:tcPr>
            <w:tcW w:w="144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14:paraId="4C4F3D28" w14:textId="77777777" w:rsidR="001C332B" w:rsidRDefault="008352E7">
            <w:pPr>
              <w:jc w:val="center"/>
            </w:pPr>
            <w:r>
              <w:t>0.808</w:t>
            </w:r>
          </w:p>
        </w:tc>
      </w:tr>
      <w:tr w:rsidR="001C332B" w14:paraId="0EE80B0F" w14:textId="77777777">
        <w:trPr>
          <w:trHeight w:val="227"/>
        </w:trPr>
        <w:tc>
          <w:tcPr>
            <w:tcW w:w="2310" w:type="dxa"/>
            <w:vMerge/>
            <w:tcBorders>
              <w:top w:val="single" w:sz="4" w:space="0" w:color="000000"/>
              <w:left w:val="single" w:sz="4" w:space="0" w:color="000000"/>
              <w:right w:val="single" w:sz="4" w:space="0" w:color="000000"/>
            </w:tcBorders>
          </w:tcPr>
          <w:p w14:paraId="2ABF05A0" w14:textId="77777777" w:rsidR="001C332B" w:rsidRDefault="001C332B">
            <w:pPr>
              <w:widowControl w:val="0"/>
              <w:spacing w:line="276" w:lineRule="auto"/>
            </w:pPr>
          </w:p>
        </w:tc>
        <w:tc>
          <w:tcPr>
            <w:tcW w:w="2025" w:type="dxa"/>
            <w:tcBorders>
              <w:top w:val="single" w:sz="4" w:space="0" w:color="000000"/>
              <w:left w:val="single" w:sz="4" w:space="0" w:color="000000"/>
              <w:bottom w:val="single" w:sz="4" w:space="0" w:color="000000"/>
              <w:right w:val="single" w:sz="4" w:space="0" w:color="000000"/>
            </w:tcBorders>
            <w:shd w:val="clear" w:color="auto" w:fill="E7E6E6"/>
            <w:tcMar>
              <w:top w:w="0" w:type="dxa"/>
              <w:left w:w="115" w:type="dxa"/>
              <w:bottom w:w="0" w:type="dxa"/>
              <w:right w:w="115" w:type="dxa"/>
            </w:tcMar>
          </w:tcPr>
          <w:p w14:paraId="7D478CC2" w14:textId="77777777" w:rsidR="001C332B" w:rsidRDefault="008352E7">
            <w:r>
              <w:rPr>
                <w:b/>
              </w:rPr>
              <w:t>Ara h 6</w:t>
            </w:r>
          </w:p>
        </w:tc>
        <w:tc>
          <w:tcPr>
            <w:tcW w:w="1725" w:type="dxa"/>
            <w:tcBorders>
              <w:top w:val="nil"/>
              <w:left w:val="single" w:sz="8" w:space="0" w:color="000000"/>
              <w:bottom w:val="single" w:sz="4" w:space="0" w:color="000000"/>
              <w:right w:val="single" w:sz="8" w:space="0" w:color="000000"/>
            </w:tcBorders>
            <w:shd w:val="clear" w:color="auto" w:fill="auto"/>
            <w:tcMar>
              <w:top w:w="0" w:type="dxa"/>
              <w:left w:w="115" w:type="dxa"/>
              <w:bottom w:w="0" w:type="dxa"/>
              <w:right w:w="115" w:type="dxa"/>
            </w:tcMar>
            <w:vAlign w:val="center"/>
          </w:tcPr>
          <w:p w14:paraId="3CEFF32D" w14:textId="77777777" w:rsidR="001C332B" w:rsidRDefault="008352E7">
            <w:pPr>
              <w:jc w:val="center"/>
            </w:pPr>
            <w:r>
              <w:t>0.998</w:t>
            </w:r>
          </w:p>
        </w:tc>
        <w:tc>
          <w:tcPr>
            <w:tcW w:w="1575" w:type="dxa"/>
            <w:tcBorders>
              <w:top w:val="nil"/>
              <w:left w:val="single" w:sz="8" w:space="0" w:color="000000"/>
              <w:bottom w:val="single" w:sz="4" w:space="0" w:color="000000"/>
              <w:right w:val="single" w:sz="8" w:space="0" w:color="000000"/>
            </w:tcBorders>
          </w:tcPr>
          <w:p w14:paraId="5C50D332" w14:textId="77777777" w:rsidR="001C332B" w:rsidRDefault="008352E7">
            <w:pPr>
              <w:jc w:val="center"/>
            </w:pPr>
            <w:r>
              <w:t>0.988</w:t>
            </w:r>
          </w:p>
        </w:tc>
        <w:tc>
          <w:tcPr>
            <w:tcW w:w="144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14:paraId="23C31ACE" w14:textId="77777777" w:rsidR="001C332B" w:rsidRDefault="008352E7">
            <w:pPr>
              <w:jc w:val="center"/>
            </w:pPr>
            <w:r>
              <w:t>0.999</w:t>
            </w:r>
          </w:p>
        </w:tc>
      </w:tr>
      <w:tr w:rsidR="001C332B" w14:paraId="6A245229" w14:textId="77777777">
        <w:trPr>
          <w:trHeight w:val="227"/>
        </w:trPr>
        <w:tc>
          <w:tcPr>
            <w:tcW w:w="2310" w:type="dxa"/>
            <w:vMerge/>
            <w:tcBorders>
              <w:top w:val="single" w:sz="4" w:space="0" w:color="000000"/>
              <w:left w:val="single" w:sz="4" w:space="0" w:color="000000"/>
              <w:right w:val="single" w:sz="4" w:space="0" w:color="000000"/>
            </w:tcBorders>
          </w:tcPr>
          <w:p w14:paraId="76FCF718" w14:textId="77777777" w:rsidR="001C332B" w:rsidRDefault="001C332B">
            <w:pPr>
              <w:widowControl w:val="0"/>
              <w:spacing w:line="276" w:lineRule="auto"/>
            </w:pPr>
          </w:p>
        </w:tc>
        <w:tc>
          <w:tcPr>
            <w:tcW w:w="2025" w:type="dxa"/>
            <w:tcBorders>
              <w:top w:val="single" w:sz="4" w:space="0" w:color="000000"/>
              <w:left w:val="single" w:sz="4" w:space="0" w:color="000000"/>
              <w:bottom w:val="single" w:sz="4" w:space="0" w:color="000000"/>
              <w:right w:val="single" w:sz="4" w:space="0" w:color="000000"/>
            </w:tcBorders>
            <w:shd w:val="clear" w:color="auto" w:fill="E7E6E6"/>
            <w:tcMar>
              <w:top w:w="0" w:type="dxa"/>
              <w:left w:w="115" w:type="dxa"/>
              <w:bottom w:w="0" w:type="dxa"/>
              <w:right w:w="115" w:type="dxa"/>
            </w:tcMar>
          </w:tcPr>
          <w:p w14:paraId="61A039D8" w14:textId="77777777" w:rsidR="001C332B" w:rsidRDefault="008352E7">
            <w:r>
              <w:rPr>
                <w:b/>
              </w:rPr>
              <w:t>Ara h 8</w:t>
            </w:r>
          </w:p>
        </w:tc>
        <w:tc>
          <w:tcPr>
            <w:tcW w:w="1725" w:type="dxa"/>
            <w:tcBorders>
              <w:top w:val="nil"/>
              <w:left w:val="single" w:sz="8" w:space="0" w:color="000000"/>
              <w:bottom w:val="single" w:sz="4" w:space="0" w:color="000000"/>
              <w:right w:val="single" w:sz="8" w:space="0" w:color="000000"/>
            </w:tcBorders>
            <w:shd w:val="clear" w:color="auto" w:fill="auto"/>
            <w:tcMar>
              <w:top w:w="0" w:type="dxa"/>
              <w:left w:w="115" w:type="dxa"/>
              <w:bottom w:w="0" w:type="dxa"/>
              <w:right w:w="115" w:type="dxa"/>
            </w:tcMar>
            <w:vAlign w:val="center"/>
          </w:tcPr>
          <w:p w14:paraId="5AD8037C" w14:textId="77777777" w:rsidR="001C332B" w:rsidRDefault="008352E7">
            <w:pPr>
              <w:jc w:val="center"/>
            </w:pPr>
            <w:r>
              <w:t>0.97</w:t>
            </w:r>
          </w:p>
        </w:tc>
        <w:tc>
          <w:tcPr>
            <w:tcW w:w="1575" w:type="dxa"/>
            <w:tcBorders>
              <w:top w:val="nil"/>
              <w:left w:val="single" w:sz="8" w:space="0" w:color="000000"/>
              <w:bottom w:val="single" w:sz="4" w:space="0" w:color="000000"/>
              <w:right w:val="single" w:sz="8" w:space="0" w:color="000000"/>
            </w:tcBorders>
          </w:tcPr>
          <w:p w14:paraId="2C0A9B18" w14:textId="77777777" w:rsidR="001C332B" w:rsidRDefault="008352E7">
            <w:pPr>
              <w:jc w:val="center"/>
            </w:pPr>
            <w:r>
              <w:t>0.932</w:t>
            </w:r>
          </w:p>
        </w:tc>
        <w:tc>
          <w:tcPr>
            <w:tcW w:w="144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14:paraId="2DECA28A" w14:textId="77777777" w:rsidR="001C332B" w:rsidRDefault="008352E7">
            <w:pPr>
              <w:jc w:val="center"/>
            </w:pPr>
            <w:r>
              <w:t>0.861</w:t>
            </w:r>
          </w:p>
        </w:tc>
      </w:tr>
      <w:tr w:rsidR="001C332B" w14:paraId="793D88F8" w14:textId="77777777">
        <w:trPr>
          <w:trHeight w:val="227"/>
        </w:trPr>
        <w:tc>
          <w:tcPr>
            <w:tcW w:w="2310" w:type="dxa"/>
            <w:vMerge/>
            <w:tcBorders>
              <w:top w:val="single" w:sz="4" w:space="0" w:color="000000"/>
              <w:left w:val="single" w:sz="4" w:space="0" w:color="000000"/>
              <w:right w:val="single" w:sz="4" w:space="0" w:color="000000"/>
            </w:tcBorders>
          </w:tcPr>
          <w:p w14:paraId="0E70DA6C" w14:textId="77777777" w:rsidR="001C332B" w:rsidRDefault="001C332B">
            <w:pPr>
              <w:widowControl w:val="0"/>
              <w:spacing w:line="276" w:lineRule="auto"/>
            </w:pPr>
          </w:p>
        </w:tc>
        <w:tc>
          <w:tcPr>
            <w:tcW w:w="2025" w:type="dxa"/>
            <w:tcBorders>
              <w:top w:val="single" w:sz="4" w:space="0" w:color="000000"/>
              <w:left w:val="single" w:sz="4" w:space="0" w:color="000000"/>
              <w:bottom w:val="single" w:sz="4" w:space="0" w:color="000000"/>
              <w:right w:val="single" w:sz="4" w:space="0" w:color="000000"/>
            </w:tcBorders>
            <w:shd w:val="clear" w:color="auto" w:fill="E7E6E6"/>
            <w:tcMar>
              <w:top w:w="0" w:type="dxa"/>
              <w:left w:w="115" w:type="dxa"/>
              <w:bottom w:w="0" w:type="dxa"/>
              <w:right w:w="115" w:type="dxa"/>
            </w:tcMar>
          </w:tcPr>
          <w:p w14:paraId="1A780773" w14:textId="77777777" w:rsidR="001C332B" w:rsidRDefault="008352E7">
            <w:r>
              <w:rPr>
                <w:b/>
              </w:rPr>
              <w:t>Ara h 9</w:t>
            </w:r>
          </w:p>
        </w:tc>
        <w:tc>
          <w:tcPr>
            <w:tcW w:w="1725" w:type="dxa"/>
            <w:tcBorders>
              <w:top w:val="nil"/>
              <w:left w:val="single" w:sz="8" w:space="0" w:color="000000"/>
              <w:bottom w:val="single" w:sz="4" w:space="0" w:color="000000"/>
              <w:right w:val="single" w:sz="8" w:space="0" w:color="000000"/>
            </w:tcBorders>
            <w:shd w:val="clear" w:color="auto" w:fill="auto"/>
            <w:tcMar>
              <w:top w:w="0" w:type="dxa"/>
              <w:left w:w="115" w:type="dxa"/>
              <w:bottom w:w="0" w:type="dxa"/>
              <w:right w:w="115" w:type="dxa"/>
            </w:tcMar>
            <w:vAlign w:val="center"/>
          </w:tcPr>
          <w:p w14:paraId="09C292AF" w14:textId="77777777" w:rsidR="001C332B" w:rsidRDefault="008352E7">
            <w:pPr>
              <w:jc w:val="center"/>
            </w:pPr>
            <w:r>
              <w:t>0.989</w:t>
            </w:r>
          </w:p>
        </w:tc>
        <w:tc>
          <w:tcPr>
            <w:tcW w:w="1575" w:type="dxa"/>
            <w:tcBorders>
              <w:top w:val="nil"/>
              <w:left w:val="single" w:sz="8" w:space="0" w:color="000000"/>
              <w:bottom w:val="single" w:sz="4" w:space="0" w:color="000000"/>
              <w:right w:val="single" w:sz="8" w:space="0" w:color="000000"/>
            </w:tcBorders>
          </w:tcPr>
          <w:p w14:paraId="0881F721" w14:textId="77777777" w:rsidR="001C332B" w:rsidRDefault="008352E7">
            <w:pPr>
              <w:jc w:val="center"/>
            </w:pPr>
            <w:r>
              <w:t>0.754</w:t>
            </w:r>
          </w:p>
        </w:tc>
        <w:tc>
          <w:tcPr>
            <w:tcW w:w="144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14:paraId="7CF25F43" w14:textId="77777777" w:rsidR="001C332B" w:rsidRDefault="008352E7">
            <w:pPr>
              <w:jc w:val="center"/>
            </w:pPr>
            <w:r>
              <w:t>0.996</w:t>
            </w:r>
          </w:p>
        </w:tc>
      </w:tr>
      <w:tr w:rsidR="001C332B" w14:paraId="16895E95" w14:textId="77777777">
        <w:trPr>
          <w:trHeight w:val="227"/>
        </w:trPr>
        <w:tc>
          <w:tcPr>
            <w:tcW w:w="2310" w:type="dxa"/>
            <w:vMerge/>
            <w:tcBorders>
              <w:top w:val="single" w:sz="4" w:space="0" w:color="000000"/>
              <w:left w:val="single" w:sz="4" w:space="0" w:color="000000"/>
              <w:right w:val="single" w:sz="4" w:space="0" w:color="000000"/>
            </w:tcBorders>
          </w:tcPr>
          <w:p w14:paraId="48BC8735" w14:textId="77777777" w:rsidR="001C332B" w:rsidRDefault="001C332B">
            <w:pPr>
              <w:widowControl w:val="0"/>
              <w:spacing w:line="276" w:lineRule="auto"/>
            </w:pPr>
          </w:p>
        </w:tc>
        <w:tc>
          <w:tcPr>
            <w:tcW w:w="2025" w:type="dxa"/>
            <w:tcBorders>
              <w:top w:val="single" w:sz="4" w:space="0" w:color="000000"/>
              <w:left w:val="single" w:sz="4" w:space="0" w:color="000000"/>
              <w:bottom w:val="single" w:sz="4" w:space="0" w:color="000000"/>
              <w:right w:val="single" w:sz="4" w:space="0" w:color="000000"/>
            </w:tcBorders>
            <w:shd w:val="clear" w:color="auto" w:fill="E7E6E6"/>
            <w:tcMar>
              <w:top w:w="0" w:type="dxa"/>
              <w:left w:w="115" w:type="dxa"/>
              <w:bottom w:w="0" w:type="dxa"/>
              <w:right w:w="115" w:type="dxa"/>
            </w:tcMar>
          </w:tcPr>
          <w:p w14:paraId="039BD280" w14:textId="77777777" w:rsidR="001C332B" w:rsidRDefault="008352E7">
            <w:r>
              <w:rPr>
                <w:b/>
              </w:rPr>
              <w:t>Ara h 15</w:t>
            </w:r>
          </w:p>
        </w:tc>
        <w:tc>
          <w:tcPr>
            <w:tcW w:w="1725" w:type="dxa"/>
            <w:tcBorders>
              <w:top w:val="nil"/>
              <w:left w:val="single" w:sz="8" w:space="0" w:color="000000"/>
              <w:bottom w:val="single" w:sz="4" w:space="0" w:color="000000"/>
              <w:right w:val="single" w:sz="8" w:space="0" w:color="000000"/>
            </w:tcBorders>
            <w:shd w:val="clear" w:color="auto" w:fill="auto"/>
            <w:tcMar>
              <w:top w:w="0" w:type="dxa"/>
              <w:left w:w="115" w:type="dxa"/>
              <w:bottom w:w="0" w:type="dxa"/>
              <w:right w:w="115" w:type="dxa"/>
            </w:tcMar>
            <w:vAlign w:val="center"/>
          </w:tcPr>
          <w:p w14:paraId="0BE72E9A" w14:textId="77777777" w:rsidR="001C332B" w:rsidRDefault="008352E7">
            <w:pPr>
              <w:jc w:val="center"/>
            </w:pPr>
            <w:r>
              <w:t>0.848</w:t>
            </w:r>
          </w:p>
        </w:tc>
        <w:tc>
          <w:tcPr>
            <w:tcW w:w="1575" w:type="dxa"/>
            <w:tcBorders>
              <w:top w:val="nil"/>
              <w:left w:val="single" w:sz="8" w:space="0" w:color="000000"/>
              <w:bottom w:val="single" w:sz="4" w:space="0" w:color="000000"/>
              <w:right w:val="single" w:sz="8" w:space="0" w:color="000000"/>
            </w:tcBorders>
          </w:tcPr>
          <w:p w14:paraId="3EF382F7" w14:textId="77777777" w:rsidR="001C332B" w:rsidRDefault="008352E7">
            <w:pPr>
              <w:jc w:val="center"/>
              <w:rPr>
                <w:b/>
              </w:rPr>
            </w:pPr>
            <w:r>
              <w:rPr>
                <w:b/>
              </w:rPr>
              <w:t>0.446</w:t>
            </w:r>
          </w:p>
        </w:tc>
        <w:tc>
          <w:tcPr>
            <w:tcW w:w="144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14:paraId="1EF42057" w14:textId="77777777" w:rsidR="001C332B" w:rsidRDefault="008352E7">
            <w:pPr>
              <w:jc w:val="center"/>
            </w:pPr>
            <w:r>
              <w:t>0.61</w:t>
            </w:r>
            <w:r>
              <w:rPr>
                <w:rFonts w:ascii="Arial" w:eastAsia="Arial" w:hAnsi="Arial" w:cs="Arial"/>
                <w:color w:val="1C1D1E"/>
                <w:sz w:val="21"/>
                <w:szCs w:val="21"/>
                <w:highlight w:val="white"/>
              </w:rPr>
              <w:t>†</w:t>
            </w:r>
          </w:p>
        </w:tc>
      </w:tr>
      <w:tr w:rsidR="001C332B" w14:paraId="30663289" w14:textId="77777777">
        <w:trPr>
          <w:trHeight w:val="227"/>
        </w:trPr>
        <w:tc>
          <w:tcPr>
            <w:tcW w:w="2310" w:type="dxa"/>
            <w:vMerge w:val="restart"/>
            <w:tcBorders>
              <w:top w:val="single" w:sz="4" w:space="0" w:color="000000"/>
              <w:left w:val="single" w:sz="4" w:space="0" w:color="000000"/>
              <w:right w:val="single" w:sz="4" w:space="0" w:color="000000"/>
            </w:tcBorders>
          </w:tcPr>
          <w:p w14:paraId="2EFE3DB7" w14:textId="77777777" w:rsidR="001C332B" w:rsidRDefault="008352E7">
            <w:r>
              <w:rPr>
                <w:b/>
              </w:rPr>
              <w:t>Walnut</w:t>
            </w:r>
          </w:p>
        </w:tc>
        <w:tc>
          <w:tcPr>
            <w:tcW w:w="2025" w:type="dxa"/>
            <w:tcBorders>
              <w:top w:val="single" w:sz="4" w:space="0" w:color="000000"/>
              <w:left w:val="single" w:sz="4" w:space="0" w:color="000000"/>
              <w:bottom w:val="single" w:sz="4" w:space="0" w:color="000000"/>
              <w:right w:val="single" w:sz="4" w:space="0" w:color="000000"/>
            </w:tcBorders>
            <w:shd w:val="clear" w:color="auto" w:fill="E7E6E6"/>
            <w:tcMar>
              <w:top w:w="0" w:type="dxa"/>
              <w:left w:w="115" w:type="dxa"/>
              <w:bottom w:w="0" w:type="dxa"/>
              <w:right w:w="115" w:type="dxa"/>
            </w:tcMar>
          </w:tcPr>
          <w:p w14:paraId="6A92692C" w14:textId="77777777" w:rsidR="001C332B" w:rsidRDefault="008352E7">
            <w:r>
              <w:rPr>
                <w:b/>
              </w:rPr>
              <w:t>Jug r 1</w:t>
            </w:r>
          </w:p>
        </w:tc>
        <w:tc>
          <w:tcPr>
            <w:tcW w:w="1725" w:type="dxa"/>
            <w:tcBorders>
              <w:top w:val="single" w:sz="4" w:space="0" w:color="000000"/>
              <w:left w:val="single" w:sz="8" w:space="0" w:color="000000"/>
              <w:bottom w:val="single" w:sz="4" w:space="0" w:color="000000"/>
              <w:right w:val="single" w:sz="8" w:space="0" w:color="000000"/>
            </w:tcBorders>
            <w:shd w:val="clear" w:color="auto" w:fill="auto"/>
            <w:tcMar>
              <w:top w:w="0" w:type="dxa"/>
              <w:left w:w="115" w:type="dxa"/>
              <w:bottom w:w="0" w:type="dxa"/>
              <w:right w:w="115" w:type="dxa"/>
            </w:tcMar>
            <w:vAlign w:val="center"/>
          </w:tcPr>
          <w:p w14:paraId="0DD9B912" w14:textId="77777777" w:rsidR="001C332B" w:rsidRDefault="008352E7">
            <w:pPr>
              <w:jc w:val="center"/>
            </w:pPr>
            <w:r>
              <w:t>0.999</w:t>
            </w:r>
          </w:p>
        </w:tc>
        <w:tc>
          <w:tcPr>
            <w:tcW w:w="1575" w:type="dxa"/>
            <w:tcBorders>
              <w:top w:val="single" w:sz="4" w:space="0" w:color="000000"/>
              <w:left w:val="single" w:sz="8" w:space="0" w:color="000000"/>
              <w:bottom w:val="single" w:sz="4" w:space="0" w:color="000000"/>
              <w:right w:val="single" w:sz="8" w:space="0" w:color="000000"/>
            </w:tcBorders>
          </w:tcPr>
          <w:p w14:paraId="749D9338" w14:textId="77777777" w:rsidR="001C332B" w:rsidRDefault="008352E7">
            <w:pPr>
              <w:jc w:val="center"/>
            </w:pPr>
            <w:r>
              <w:t>0.996</w:t>
            </w:r>
          </w:p>
        </w:tc>
        <w:tc>
          <w:tcPr>
            <w:tcW w:w="144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14:paraId="5C25C793" w14:textId="77777777" w:rsidR="001C332B" w:rsidRDefault="008352E7">
            <w:pPr>
              <w:jc w:val="center"/>
            </w:pPr>
            <w:r>
              <w:t>0.999</w:t>
            </w:r>
          </w:p>
        </w:tc>
      </w:tr>
      <w:tr w:rsidR="001C332B" w14:paraId="30C4C747" w14:textId="77777777">
        <w:trPr>
          <w:trHeight w:val="227"/>
        </w:trPr>
        <w:tc>
          <w:tcPr>
            <w:tcW w:w="2310" w:type="dxa"/>
            <w:vMerge/>
            <w:tcBorders>
              <w:top w:val="single" w:sz="4" w:space="0" w:color="000000"/>
              <w:left w:val="single" w:sz="4" w:space="0" w:color="000000"/>
              <w:right w:val="single" w:sz="4" w:space="0" w:color="000000"/>
            </w:tcBorders>
          </w:tcPr>
          <w:p w14:paraId="5BAD8D55" w14:textId="77777777" w:rsidR="001C332B" w:rsidRDefault="001C332B">
            <w:pPr>
              <w:widowControl w:val="0"/>
              <w:spacing w:line="276" w:lineRule="auto"/>
            </w:pPr>
          </w:p>
        </w:tc>
        <w:tc>
          <w:tcPr>
            <w:tcW w:w="2025" w:type="dxa"/>
            <w:tcBorders>
              <w:top w:val="single" w:sz="4" w:space="0" w:color="000000"/>
              <w:left w:val="single" w:sz="4" w:space="0" w:color="000000"/>
              <w:bottom w:val="single" w:sz="4" w:space="0" w:color="000000"/>
              <w:right w:val="single" w:sz="4" w:space="0" w:color="000000"/>
            </w:tcBorders>
            <w:shd w:val="clear" w:color="auto" w:fill="E7E6E6"/>
            <w:tcMar>
              <w:top w:w="0" w:type="dxa"/>
              <w:left w:w="115" w:type="dxa"/>
              <w:bottom w:w="0" w:type="dxa"/>
              <w:right w:w="115" w:type="dxa"/>
            </w:tcMar>
          </w:tcPr>
          <w:p w14:paraId="2C13CE5F" w14:textId="77777777" w:rsidR="001C332B" w:rsidRDefault="008352E7">
            <w:r>
              <w:rPr>
                <w:b/>
              </w:rPr>
              <w:t>Jug r 2</w:t>
            </w:r>
          </w:p>
        </w:tc>
        <w:tc>
          <w:tcPr>
            <w:tcW w:w="1725" w:type="dxa"/>
            <w:tcBorders>
              <w:top w:val="nil"/>
              <w:left w:val="single" w:sz="8" w:space="0" w:color="000000"/>
              <w:bottom w:val="single" w:sz="4" w:space="0" w:color="000000"/>
              <w:right w:val="single" w:sz="8" w:space="0" w:color="000000"/>
            </w:tcBorders>
            <w:shd w:val="clear" w:color="auto" w:fill="auto"/>
            <w:tcMar>
              <w:top w:w="0" w:type="dxa"/>
              <w:left w:w="115" w:type="dxa"/>
              <w:bottom w:w="0" w:type="dxa"/>
              <w:right w:w="115" w:type="dxa"/>
            </w:tcMar>
            <w:vAlign w:val="center"/>
          </w:tcPr>
          <w:p w14:paraId="0EE0D9D9" w14:textId="77777777" w:rsidR="001C332B" w:rsidRDefault="008352E7">
            <w:pPr>
              <w:jc w:val="center"/>
            </w:pPr>
            <w:r>
              <w:t>0.999</w:t>
            </w:r>
          </w:p>
        </w:tc>
        <w:tc>
          <w:tcPr>
            <w:tcW w:w="1575" w:type="dxa"/>
            <w:tcBorders>
              <w:top w:val="nil"/>
              <w:left w:val="single" w:sz="8" w:space="0" w:color="000000"/>
              <w:bottom w:val="single" w:sz="4" w:space="0" w:color="000000"/>
              <w:right w:val="single" w:sz="8" w:space="0" w:color="000000"/>
            </w:tcBorders>
          </w:tcPr>
          <w:p w14:paraId="63120A4F" w14:textId="77777777" w:rsidR="001C332B" w:rsidRDefault="008352E7">
            <w:pPr>
              <w:jc w:val="center"/>
            </w:pPr>
            <w:r>
              <w:t>0.995</w:t>
            </w:r>
          </w:p>
        </w:tc>
        <w:tc>
          <w:tcPr>
            <w:tcW w:w="144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14:paraId="4622668B" w14:textId="77777777" w:rsidR="001C332B" w:rsidRDefault="008352E7">
            <w:pPr>
              <w:jc w:val="center"/>
            </w:pPr>
            <w:r>
              <w:t>0.969</w:t>
            </w:r>
          </w:p>
        </w:tc>
      </w:tr>
      <w:tr w:rsidR="001C332B" w14:paraId="371FB6FA" w14:textId="77777777">
        <w:trPr>
          <w:trHeight w:val="227"/>
        </w:trPr>
        <w:tc>
          <w:tcPr>
            <w:tcW w:w="2310" w:type="dxa"/>
            <w:vMerge/>
            <w:tcBorders>
              <w:top w:val="single" w:sz="4" w:space="0" w:color="000000"/>
              <w:left w:val="single" w:sz="4" w:space="0" w:color="000000"/>
              <w:right w:val="single" w:sz="4" w:space="0" w:color="000000"/>
            </w:tcBorders>
          </w:tcPr>
          <w:p w14:paraId="081DAE09" w14:textId="77777777" w:rsidR="001C332B" w:rsidRDefault="001C332B">
            <w:pPr>
              <w:widowControl w:val="0"/>
              <w:spacing w:line="276" w:lineRule="auto"/>
            </w:pPr>
          </w:p>
        </w:tc>
        <w:tc>
          <w:tcPr>
            <w:tcW w:w="2025" w:type="dxa"/>
            <w:tcBorders>
              <w:top w:val="single" w:sz="4" w:space="0" w:color="000000"/>
              <w:left w:val="single" w:sz="4" w:space="0" w:color="000000"/>
              <w:bottom w:val="single" w:sz="4" w:space="0" w:color="000000"/>
              <w:right w:val="single" w:sz="4" w:space="0" w:color="000000"/>
            </w:tcBorders>
            <w:shd w:val="clear" w:color="auto" w:fill="E7E6E6"/>
            <w:tcMar>
              <w:top w:w="0" w:type="dxa"/>
              <w:left w:w="115" w:type="dxa"/>
              <w:bottom w:w="0" w:type="dxa"/>
              <w:right w:w="115" w:type="dxa"/>
            </w:tcMar>
          </w:tcPr>
          <w:p w14:paraId="75AA4E6E" w14:textId="77777777" w:rsidR="001C332B" w:rsidRDefault="008352E7">
            <w:r>
              <w:rPr>
                <w:b/>
              </w:rPr>
              <w:t>Jug r 3</w:t>
            </w:r>
          </w:p>
        </w:tc>
        <w:tc>
          <w:tcPr>
            <w:tcW w:w="1725" w:type="dxa"/>
            <w:tcBorders>
              <w:top w:val="nil"/>
              <w:left w:val="single" w:sz="8" w:space="0" w:color="000000"/>
              <w:bottom w:val="single" w:sz="4" w:space="0" w:color="000000"/>
              <w:right w:val="single" w:sz="8" w:space="0" w:color="000000"/>
            </w:tcBorders>
            <w:shd w:val="clear" w:color="auto" w:fill="auto"/>
            <w:tcMar>
              <w:top w:w="0" w:type="dxa"/>
              <w:left w:w="115" w:type="dxa"/>
              <w:bottom w:w="0" w:type="dxa"/>
              <w:right w:w="115" w:type="dxa"/>
            </w:tcMar>
            <w:vAlign w:val="center"/>
          </w:tcPr>
          <w:p w14:paraId="218FD6E3" w14:textId="77777777" w:rsidR="001C332B" w:rsidRDefault="008352E7">
            <w:pPr>
              <w:jc w:val="center"/>
            </w:pPr>
            <w:r>
              <w:t>0.989</w:t>
            </w:r>
          </w:p>
        </w:tc>
        <w:tc>
          <w:tcPr>
            <w:tcW w:w="1575" w:type="dxa"/>
            <w:tcBorders>
              <w:top w:val="nil"/>
              <w:left w:val="single" w:sz="8" w:space="0" w:color="000000"/>
              <w:bottom w:val="single" w:sz="4" w:space="0" w:color="000000"/>
              <w:right w:val="single" w:sz="8" w:space="0" w:color="000000"/>
            </w:tcBorders>
          </w:tcPr>
          <w:p w14:paraId="26337EEF" w14:textId="77777777" w:rsidR="001C332B" w:rsidRDefault="008352E7">
            <w:pPr>
              <w:jc w:val="center"/>
            </w:pPr>
            <w:r>
              <w:t>0.976</w:t>
            </w:r>
          </w:p>
        </w:tc>
        <w:tc>
          <w:tcPr>
            <w:tcW w:w="144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14:paraId="209960B5" w14:textId="77777777" w:rsidR="001C332B" w:rsidRDefault="008352E7">
            <w:pPr>
              <w:jc w:val="center"/>
            </w:pPr>
            <w:r>
              <w:t>0.987</w:t>
            </w:r>
          </w:p>
        </w:tc>
      </w:tr>
      <w:tr w:rsidR="001C332B" w14:paraId="57CCD483" w14:textId="77777777">
        <w:trPr>
          <w:trHeight w:val="227"/>
        </w:trPr>
        <w:tc>
          <w:tcPr>
            <w:tcW w:w="2310" w:type="dxa"/>
            <w:vMerge/>
            <w:tcBorders>
              <w:top w:val="single" w:sz="4" w:space="0" w:color="000000"/>
              <w:left w:val="single" w:sz="4" w:space="0" w:color="000000"/>
              <w:right w:val="single" w:sz="4" w:space="0" w:color="000000"/>
            </w:tcBorders>
          </w:tcPr>
          <w:p w14:paraId="56BB69A3" w14:textId="77777777" w:rsidR="001C332B" w:rsidRDefault="001C332B">
            <w:pPr>
              <w:widowControl w:val="0"/>
              <w:spacing w:line="276" w:lineRule="auto"/>
            </w:pPr>
          </w:p>
        </w:tc>
        <w:tc>
          <w:tcPr>
            <w:tcW w:w="2025" w:type="dxa"/>
            <w:tcBorders>
              <w:top w:val="single" w:sz="4" w:space="0" w:color="000000"/>
              <w:left w:val="single" w:sz="4" w:space="0" w:color="000000"/>
              <w:bottom w:val="single" w:sz="4" w:space="0" w:color="000000"/>
              <w:right w:val="single" w:sz="4" w:space="0" w:color="000000"/>
            </w:tcBorders>
            <w:shd w:val="clear" w:color="auto" w:fill="E7E6E6"/>
            <w:tcMar>
              <w:top w:w="0" w:type="dxa"/>
              <w:left w:w="115" w:type="dxa"/>
              <w:bottom w:w="0" w:type="dxa"/>
              <w:right w:w="115" w:type="dxa"/>
            </w:tcMar>
          </w:tcPr>
          <w:p w14:paraId="6ED083BB" w14:textId="77777777" w:rsidR="001C332B" w:rsidRDefault="008352E7">
            <w:r>
              <w:rPr>
                <w:b/>
              </w:rPr>
              <w:t>Jug r 4</w:t>
            </w:r>
          </w:p>
        </w:tc>
        <w:tc>
          <w:tcPr>
            <w:tcW w:w="1725" w:type="dxa"/>
            <w:tcBorders>
              <w:top w:val="nil"/>
              <w:left w:val="single" w:sz="8" w:space="0" w:color="000000"/>
              <w:bottom w:val="single" w:sz="4" w:space="0" w:color="000000"/>
              <w:right w:val="single" w:sz="8" w:space="0" w:color="000000"/>
            </w:tcBorders>
            <w:shd w:val="clear" w:color="auto" w:fill="auto"/>
            <w:tcMar>
              <w:top w:w="0" w:type="dxa"/>
              <w:left w:w="115" w:type="dxa"/>
              <w:bottom w:w="0" w:type="dxa"/>
              <w:right w:w="115" w:type="dxa"/>
            </w:tcMar>
            <w:vAlign w:val="center"/>
          </w:tcPr>
          <w:p w14:paraId="505A7DE4" w14:textId="77777777" w:rsidR="001C332B" w:rsidRDefault="008352E7">
            <w:pPr>
              <w:jc w:val="center"/>
            </w:pPr>
            <w:r>
              <w:t>0.993</w:t>
            </w:r>
          </w:p>
        </w:tc>
        <w:tc>
          <w:tcPr>
            <w:tcW w:w="1575" w:type="dxa"/>
            <w:tcBorders>
              <w:top w:val="nil"/>
              <w:left w:val="single" w:sz="8" w:space="0" w:color="000000"/>
              <w:bottom w:val="single" w:sz="4" w:space="0" w:color="000000"/>
              <w:right w:val="single" w:sz="8" w:space="0" w:color="000000"/>
            </w:tcBorders>
          </w:tcPr>
          <w:p w14:paraId="3A9C6F77" w14:textId="77777777" w:rsidR="001C332B" w:rsidRDefault="008352E7">
            <w:pPr>
              <w:jc w:val="center"/>
            </w:pPr>
            <w:r>
              <w:t>0.998</w:t>
            </w:r>
          </w:p>
        </w:tc>
        <w:tc>
          <w:tcPr>
            <w:tcW w:w="144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14:paraId="1E6D07B1" w14:textId="77777777" w:rsidR="001C332B" w:rsidRDefault="008352E7">
            <w:pPr>
              <w:jc w:val="center"/>
            </w:pPr>
            <w:r>
              <w:t>0.998</w:t>
            </w:r>
          </w:p>
        </w:tc>
      </w:tr>
      <w:tr w:rsidR="001C332B" w14:paraId="651C901D" w14:textId="77777777">
        <w:trPr>
          <w:trHeight w:val="227"/>
        </w:trPr>
        <w:tc>
          <w:tcPr>
            <w:tcW w:w="2310" w:type="dxa"/>
            <w:vMerge/>
            <w:tcBorders>
              <w:top w:val="single" w:sz="4" w:space="0" w:color="000000"/>
              <w:left w:val="single" w:sz="4" w:space="0" w:color="000000"/>
              <w:right w:val="single" w:sz="4" w:space="0" w:color="000000"/>
            </w:tcBorders>
          </w:tcPr>
          <w:p w14:paraId="68017CCE" w14:textId="77777777" w:rsidR="001C332B" w:rsidRDefault="001C332B">
            <w:pPr>
              <w:widowControl w:val="0"/>
              <w:spacing w:line="276" w:lineRule="auto"/>
            </w:pPr>
          </w:p>
        </w:tc>
        <w:tc>
          <w:tcPr>
            <w:tcW w:w="2025" w:type="dxa"/>
            <w:tcBorders>
              <w:top w:val="single" w:sz="4" w:space="0" w:color="000000"/>
              <w:left w:val="single" w:sz="4" w:space="0" w:color="000000"/>
              <w:bottom w:val="single" w:sz="4" w:space="0" w:color="000000"/>
              <w:right w:val="single" w:sz="4" w:space="0" w:color="000000"/>
            </w:tcBorders>
            <w:shd w:val="clear" w:color="auto" w:fill="E7E6E6"/>
            <w:tcMar>
              <w:top w:w="0" w:type="dxa"/>
              <w:left w:w="115" w:type="dxa"/>
              <w:bottom w:w="0" w:type="dxa"/>
              <w:right w:w="115" w:type="dxa"/>
            </w:tcMar>
          </w:tcPr>
          <w:p w14:paraId="1C1DD529" w14:textId="77777777" w:rsidR="001C332B" w:rsidRDefault="008352E7">
            <w:r>
              <w:rPr>
                <w:b/>
              </w:rPr>
              <w:t>Jug r 6</w:t>
            </w:r>
          </w:p>
        </w:tc>
        <w:tc>
          <w:tcPr>
            <w:tcW w:w="1725" w:type="dxa"/>
            <w:tcBorders>
              <w:top w:val="nil"/>
              <w:left w:val="single" w:sz="8" w:space="0" w:color="000000"/>
              <w:bottom w:val="single" w:sz="4" w:space="0" w:color="000000"/>
              <w:right w:val="single" w:sz="8" w:space="0" w:color="000000"/>
            </w:tcBorders>
            <w:shd w:val="clear" w:color="auto" w:fill="auto"/>
            <w:tcMar>
              <w:top w:w="0" w:type="dxa"/>
              <w:left w:w="115" w:type="dxa"/>
              <w:bottom w:w="0" w:type="dxa"/>
              <w:right w:w="115" w:type="dxa"/>
            </w:tcMar>
            <w:vAlign w:val="center"/>
          </w:tcPr>
          <w:p w14:paraId="3F875611" w14:textId="77777777" w:rsidR="001C332B" w:rsidRDefault="008352E7">
            <w:pPr>
              <w:jc w:val="center"/>
            </w:pPr>
            <w:r>
              <w:t>0.998</w:t>
            </w:r>
          </w:p>
        </w:tc>
        <w:tc>
          <w:tcPr>
            <w:tcW w:w="1575" w:type="dxa"/>
            <w:tcBorders>
              <w:top w:val="nil"/>
              <w:left w:val="single" w:sz="8" w:space="0" w:color="000000"/>
              <w:bottom w:val="single" w:sz="4" w:space="0" w:color="000000"/>
              <w:right w:val="single" w:sz="8" w:space="0" w:color="000000"/>
            </w:tcBorders>
          </w:tcPr>
          <w:p w14:paraId="45FDB1A7" w14:textId="77777777" w:rsidR="001C332B" w:rsidRDefault="008352E7">
            <w:pPr>
              <w:jc w:val="center"/>
            </w:pPr>
            <w:r>
              <w:t>0.990</w:t>
            </w:r>
          </w:p>
        </w:tc>
        <w:tc>
          <w:tcPr>
            <w:tcW w:w="144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14:paraId="30952797" w14:textId="77777777" w:rsidR="001C332B" w:rsidRDefault="008352E7">
            <w:pPr>
              <w:jc w:val="center"/>
            </w:pPr>
            <w:r>
              <w:t>0.995</w:t>
            </w:r>
          </w:p>
        </w:tc>
      </w:tr>
    </w:tbl>
    <w:p w14:paraId="13D19496" w14:textId="77777777" w:rsidR="001C332B" w:rsidRDefault="001C332B"/>
    <w:p w14:paraId="6A3DEF1E" w14:textId="77777777" w:rsidR="001C332B" w:rsidRDefault="001C332B">
      <w:pPr>
        <w:spacing w:line="360" w:lineRule="auto"/>
        <w:rPr>
          <w:b/>
        </w:rPr>
      </w:pPr>
    </w:p>
    <w:p w14:paraId="650B4DAE" w14:textId="77777777" w:rsidR="001C332B" w:rsidRDefault="008352E7">
      <w:pPr>
        <w:spacing w:line="360" w:lineRule="auto"/>
      </w:pPr>
      <w:r>
        <w:rPr>
          <w:b/>
        </w:rPr>
        <w:t>Figure 1</w:t>
      </w:r>
      <w:r>
        <w:t xml:space="preserve">. Graphical presentation of the linearity analysis in 4 samples covering 28 of our 44 studied allergens (59 determinations). The graph plots the R2 values (obtained in the linear regression analysis with the serial dilutions) in the “X” axis and the initial </w:t>
      </w:r>
      <w:proofErr w:type="spellStart"/>
      <w:r>
        <w:t>sIgE</w:t>
      </w:r>
      <w:proofErr w:type="spellEnd"/>
      <w:r>
        <w:t xml:space="preserve"> concentration for the corresponding allergen in </w:t>
      </w:r>
      <w:proofErr w:type="gramStart"/>
      <w:r>
        <w:t>the ”Y</w:t>
      </w:r>
      <w:proofErr w:type="gramEnd"/>
      <w:r>
        <w:t xml:space="preserve">” axis. The names of the allergens with an initial concentration below 30 </w:t>
      </w:r>
      <w:proofErr w:type="spellStart"/>
      <w:r>
        <w:t>kU</w:t>
      </w:r>
      <w:r>
        <w:rPr>
          <w:vertAlign w:val="subscript"/>
        </w:rPr>
        <w:t>A</w:t>
      </w:r>
      <w:proofErr w:type="spellEnd"/>
      <w:r>
        <w:t>/L and a R2 below 0.9 are shown.</w:t>
      </w:r>
    </w:p>
    <w:sectPr w:rsidR="001C332B" w:rsidSect="005F5C5A">
      <w:pgSz w:w="11906" w:h="16838"/>
      <w:pgMar w:top="1440" w:right="1134" w:bottom="1440" w:left="1134" w:header="709" w:footer="709"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Helvetica Neue">
    <w:altName w:val="Times New Roman"/>
    <w:charset w:val="00"/>
    <w:family w:val="auto"/>
    <w:pitch w:val="default"/>
  </w:font>
  <w:font w:name="Roboto">
    <w:altName w:val="Times New Roman"/>
    <w:charset w:val="00"/>
    <w:family w:val="auto"/>
    <w:pitch w:val="variable"/>
    <w:sig w:usb0="E00002FF" w:usb1="5000205B" w:usb2="00000020" w:usb3="00000000" w:csb0="0000019F" w:csb1="00000000"/>
  </w:font>
  <w:font w:name="Gungsuh">
    <w:altName w:val="Malgun Gothic"/>
    <w:charset w:val="81"/>
    <w:family w:val="roman"/>
    <w:pitch w:val="variable"/>
    <w:sig w:usb0="B00002AF" w:usb1="69D77CFB" w:usb2="00000030" w:usb3="00000000" w:csb0="0008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8A240A"/>
    <w:multiLevelType w:val="multilevel"/>
    <w:tmpl w:val="842634E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332B"/>
    <w:rsid w:val="000B11F4"/>
    <w:rsid w:val="001C332B"/>
    <w:rsid w:val="0023095A"/>
    <w:rsid w:val="00351050"/>
    <w:rsid w:val="003C24B8"/>
    <w:rsid w:val="003D2799"/>
    <w:rsid w:val="004A342B"/>
    <w:rsid w:val="00583B0D"/>
    <w:rsid w:val="00592D6A"/>
    <w:rsid w:val="005F5C5A"/>
    <w:rsid w:val="006E6B76"/>
    <w:rsid w:val="008352E7"/>
    <w:rsid w:val="00A324E0"/>
    <w:rsid w:val="00AA4295"/>
    <w:rsid w:val="00BB3C3F"/>
    <w:rsid w:val="00C0056E"/>
    <w:rsid w:val="00CF1D77"/>
    <w:rsid w:val="00F810E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80CDBD"/>
  <w15:docId w15:val="{BEA45D62-FE21-4C13-BE23-CD8A00CD9C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14F9A"/>
  </w:style>
  <w:style w:type="paragraph" w:styleId="Ttulo1">
    <w:name w:val="heading 1"/>
    <w:basedOn w:val="Normal"/>
    <w:next w:val="Normal"/>
    <w:link w:val="Ttulo1Car"/>
    <w:uiPriority w:val="9"/>
    <w:qFormat/>
    <w:rsid w:val="008F6ACF"/>
    <w:pPr>
      <w:keepNext/>
      <w:keepLines/>
      <w:spacing w:before="240" w:line="259" w:lineRule="auto"/>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character" w:customStyle="1" w:styleId="Ttulo1Car">
    <w:name w:val="Título 1 Car"/>
    <w:basedOn w:val="Fuentedeprrafopredeter"/>
    <w:link w:val="Ttulo1"/>
    <w:uiPriority w:val="9"/>
    <w:rsid w:val="008F6ACF"/>
    <w:rPr>
      <w:rFonts w:asciiTheme="majorHAnsi" w:eastAsiaTheme="majorEastAsia" w:hAnsiTheme="majorHAnsi" w:cstheme="majorBidi"/>
      <w:color w:val="2E74B5" w:themeColor="accent1" w:themeShade="BF"/>
      <w:sz w:val="32"/>
      <w:szCs w:val="32"/>
    </w:rPr>
  </w:style>
  <w:style w:type="paragraph" w:customStyle="1" w:styleId="Subttulos">
    <w:name w:val="Subtítulos"/>
    <w:basedOn w:val="Ttulo1"/>
    <w:link w:val="SubttulosCar"/>
    <w:qFormat/>
    <w:rsid w:val="008F6ACF"/>
    <w:rPr>
      <w:rFonts w:asciiTheme="minorHAnsi" w:hAnsiTheme="minorHAnsi"/>
      <w:b/>
    </w:rPr>
  </w:style>
  <w:style w:type="paragraph" w:styleId="Sinespaciado">
    <w:name w:val="No Spacing"/>
    <w:uiPriority w:val="1"/>
    <w:qFormat/>
    <w:rsid w:val="008F6ACF"/>
  </w:style>
  <w:style w:type="character" w:customStyle="1" w:styleId="SubttulosCar">
    <w:name w:val="Subtítulos Car"/>
    <w:basedOn w:val="Ttulo1Car"/>
    <w:link w:val="Subttulos"/>
    <w:rsid w:val="008F6ACF"/>
    <w:rPr>
      <w:rFonts w:asciiTheme="majorHAnsi" w:eastAsiaTheme="majorEastAsia" w:hAnsiTheme="majorHAnsi" w:cstheme="majorBidi"/>
      <w:b/>
      <w:color w:val="2E74B5" w:themeColor="accent1" w:themeShade="BF"/>
      <w:sz w:val="32"/>
      <w:szCs w:val="32"/>
    </w:rPr>
  </w:style>
  <w:style w:type="character" w:styleId="Hipervnculo">
    <w:name w:val="Hyperlink"/>
    <w:uiPriority w:val="99"/>
    <w:unhideWhenUsed/>
    <w:rsid w:val="003E474D"/>
    <w:rPr>
      <w:color w:val="0000FF"/>
      <w:u w:val="single"/>
    </w:rPr>
  </w:style>
  <w:style w:type="paragraph" w:styleId="Prrafodelista">
    <w:name w:val="List Paragraph"/>
    <w:basedOn w:val="Normal"/>
    <w:uiPriority w:val="34"/>
    <w:qFormat/>
    <w:rsid w:val="003E474D"/>
    <w:pPr>
      <w:spacing w:after="160" w:line="259" w:lineRule="auto"/>
      <w:ind w:left="720"/>
      <w:contextualSpacing/>
    </w:pPr>
    <w:rPr>
      <w:rFonts w:ascii="Calibri" w:eastAsia="Calibri" w:hAnsi="Calibri"/>
      <w:sz w:val="22"/>
      <w:szCs w:val="22"/>
    </w:rPr>
  </w:style>
  <w:style w:type="paragraph" w:styleId="Textodeglobo">
    <w:name w:val="Balloon Text"/>
    <w:basedOn w:val="Normal"/>
    <w:link w:val="TextodegloboCar"/>
    <w:uiPriority w:val="99"/>
    <w:semiHidden/>
    <w:unhideWhenUsed/>
    <w:rsid w:val="0090524D"/>
    <w:rPr>
      <w:rFonts w:eastAsiaTheme="minorHAnsi"/>
      <w:sz w:val="18"/>
      <w:szCs w:val="18"/>
    </w:rPr>
  </w:style>
  <w:style w:type="character" w:customStyle="1" w:styleId="TextodegloboCar">
    <w:name w:val="Texto de globo Car"/>
    <w:basedOn w:val="Fuentedeprrafopredeter"/>
    <w:link w:val="Textodeglobo"/>
    <w:uiPriority w:val="99"/>
    <w:semiHidden/>
    <w:rsid w:val="0090524D"/>
    <w:rPr>
      <w:rFonts w:ascii="Times New Roman" w:hAnsi="Times New Roman" w:cs="Times New Roman"/>
      <w:sz w:val="18"/>
      <w:szCs w:val="18"/>
    </w:rPr>
  </w:style>
  <w:style w:type="paragraph" w:styleId="NormalWeb">
    <w:name w:val="Normal (Web)"/>
    <w:basedOn w:val="Normal"/>
    <w:uiPriority w:val="99"/>
    <w:semiHidden/>
    <w:unhideWhenUsed/>
    <w:rsid w:val="00387366"/>
    <w:pPr>
      <w:spacing w:before="100" w:beforeAutospacing="1" w:after="100" w:afterAutospacing="1"/>
    </w:pPr>
  </w:style>
  <w:style w:type="table" w:styleId="Tablaconcuadrcula">
    <w:name w:val="Table Grid"/>
    <w:basedOn w:val="Tablanormal"/>
    <w:uiPriority w:val="39"/>
    <w:rsid w:val="000611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A93E1C"/>
    <w:rPr>
      <w:sz w:val="16"/>
      <w:szCs w:val="16"/>
    </w:rPr>
  </w:style>
  <w:style w:type="paragraph" w:styleId="Textocomentario">
    <w:name w:val="annotation text"/>
    <w:basedOn w:val="Normal"/>
    <w:link w:val="TextocomentarioCar"/>
    <w:uiPriority w:val="99"/>
    <w:semiHidden/>
    <w:unhideWhenUsed/>
    <w:rsid w:val="00A93E1C"/>
    <w:rPr>
      <w:sz w:val="20"/>
      <w:szCs w:val="20"/>
    </w:rPr>
  </w:style>
  <w:style w:type="character" w:customStyle="1" w:styleId="TextocomentarioCar">
    <w:name w:val="Texto comentario Car"/>
    <w:basedOn w:val="Fuentedeprrafopredeter"/>
    <w:link w:val="Textocomentario"/>
    <w:uiPriority w:val="99"/>
    <w:semiHidden/>
    <w:rsid w:val="00A93E1C"/>
    <w:rPr>
      <w:rFonts w:ascii="Times New Roman" w:eastAsia="Times New Roman" w:hAnsi="Times New Roman" w:cs="Times New Roman"/>
      <w:sz w:val="20"/>
      <w:szCs w:val="20"/>
    </w:rPr>
  </w:style>
  <w:style w:type="paragraph" w:styleId="Asuntodelcomentario">
    <w:name w:val="annotation subject"/>
    <w:basedOn w:val="Textocomentario"/>
    <w:next w:val="Textocomentario"/>
    <w:link w:val="AsuntodelcomentarioCar"/>
    <w:uiPriority w:val="99"/>
    <w:semiHidden/>
    <w:unhideWhenUsed/>
    <w:rsid w:val="00A93E1C"/>
    <w:rPr>
      <w:b/>
      <w:bCs/>
    </w:rPr>
  </w:style>
  <w:style w:type="character" w:customStyle="1" w:styleId="AsuntodelcomentarioCar">
    <w:name w:val="Asunto del comentario Car"/>
    <w:basedOn w:val="TextocomentarioCar"/>
    <w:link w:val="Asuntodelcomentario"/>
    <w:uiPriority w:val="99"/>
    <w:semiHidden/>
    <w:rsid w:val="00A93E1C"/>
    <w:rPr>
      <w:rFonts w:ascii="Times New Roman" w:eastAsia="Times New Roman" w:hAnsi="Times New Roman" w:cs="Times New Roman"/>
      <w:b/>
      <w:bCs/>
      <w:sz w:val="20"/>
      <w:szCs w:val="20"/>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3"/>
    <w:tblPr>
      <w:tblStyleRowBandSize w:val="1"/>
      <w:tblStyleColBandSize w:val="1"/>
      <w:tblCellMar>
        <w:left w:w="108" w:type="dxa"/>
        <w:right w:w="108" w:type="dxa"/>
      </w:tblCellMar>
    </w:tblPr>
  </w:style>
  <w:style w:type="table" w:customStyle="1" w:styleId="a0">
    <w:basedOn w:val="TableNormal3"/>
    <w:tblPr>
      <w:tblStyleRowBandSize w:val="1"/>
      <w:tblStyleColBandSize w:val="1"/>
      <w:tblCellMar>
        <w:left w:w="108" w:type="dxa"/>
        <w:right w:w="108" w:type="dxa"/>
      </w:tblCellMar>
    </w:tblPr>
  </w:style>
  <w:style w:type="table" w:customStyle="1" w:styleId="a1">
    <w:basedOn w:val="TableNormal3"/>
    <w:tblPr>
      <w:tblStyleRowBandSize w:val="1"/>
      <w:tblStyleColBandSize w:val="1"/>
      <w:tblCellMar>
        <w:left w:w="115" w:type="dxa"/>
        <w:right w:w="115" w:type="dxa"/>
      </w:tblCellMar>
    </w:tblPr>
  </w:style>
  <w:style w:type="table" w:customStyle="1" w:styleId="a2">
    <w:basedOn w:val="TableNormal3"/>
    <w:tblPr>
      <w:tblStyleRowBandSize w:val="1"/>
      <w:tblStyleColBandSize w:val="1"/>
      <w:tblCellMar>
        <w:left w:w="115" w:type="dxa"/>
        <w:right w:w="115" w:type="dxa"/>
      </w:tblCellMar>
    </w:tblPr>
  </w:style>
  <w:style w:type="table" w:customStyle="1" w:styleId="a3">
    <w:basedOn w:val="TableNormal3"/>
    <w:tblPr>
      <w:tblStyleRowBandSize w:val="1"/>
      <w:tblStyleColBandSize w:val="1"/>
      <w:tblCellMar>
        <w:left w:w="108" w:type="dxa"/>
        <w:right w:w="108" w:type="dxa"/>
      </w:tblCellMar>
    </w:tblPr>
  </w:style>
  <w:style w:type="table" w:customStyle="1" w:styleId="a4">
    <w:basedOn w:val="TableNormal3"/>
    <w:tblPr>
      <w:tblStyleRowBandSize w:val="1"/>
      <w:tblStyleColBandSize w:val="1"/>
      <w:tblCellMar>
        <w:left w:w="108" w:type="dxa"/>
        <w:right w:w="108" w:type="dxa"/>
      </w:tblCellMar>
    </w:tblPr>
  </w:style>
  <w:style w:type="table" w:customStyle="1" w:styleId="a5">
    <w:basedOn w:val="TableNormal3"/>
    <w:tblPr>
      <w:tblStyleRowBandSize w:val="1"/>
      <w:tblStyleColBandSize w:val="1"/>
      <w:tblCellMar>
        <w:top w:w="100" w:type="dxa"/>
        <w:left w:w="100" w:type="dxa"/>
        <w:bottom w:w="100" w:type="dxa"/>
        <w:right w:w="100" w:type="dxa"/>
      </w:tblCellMar>
    </w:tblPr>
  </w:style>
  <w:style w:type="table" w:customStyle="1" w:styleId="a6">
    <w:basedOn w:val="TableNormal3"/>
    <w:tblPr>
      <w:tblStyleRowBandSize w:val="1"/>
      <w:tblStyleColBandSize w:val="1"/>
      <w:tblCellMar>
        <w:left w:w="108" w:type="dxa"/>
        <w:right w:w="108" w:type="dxa"/>
      </w:tblCellMar>
    </w:tblPr>
  </w:style>
  <w:style w:type="table" w:customStyle="1" w:styleId="a7">
    <w:basedOn w:val="TableNormal3"/>
    <w:tblPr>
      <w:tblStyleRowBandSize w:val="1"/>
      <w:tblStyleColBandSize w:val="1"/>
      <w:tblCellMar>
        <w:top w:w="100" w:type="dxa"/>
        <w:left w:w="108" w:type="dxa"/>
        <w:bottom w:w="100" w:type="dxa"/>
        <w:right w:w="108" w:type="dxa"/>
      </w:tblCellMar>
    </w:tblPr>
  </w:style>
  <w:style w:type="table" w:customStyle="1" w:styleId="a8">
    <w:basedOn w:val="TableNormal3"/>
    <w:tblPr>
      <w:tblStyleRowBandSize w:val="1"/>
      <w:tblStyleColBandSize w:val="1"/>
      <w:tblCellMar>
        <w:top w:w="100" w:type="dxa"/>
        <w:left w:w="108" w:type="dxa"/>
        <w:bottom w:w="100" w:type="dxa"/>
        <w:right w:w="108" w:type="dxa"/>
      </w:tblCellMar>
    </w:tblPr>
  </w:style>
  <w:style w:type="table" w:customStyle="1" w:styleId="a9">
    <w:basedOn w:val="TableNormal3"/>
    <w:tblPr>
      <w:tblStyleRowBandSize w:val="1"/>
      <w:tblStyleColBandSize w:val="1"/>
      <w:tblCellMar>
        <w:top w:w="100" w:type="dxa"/>
        <w:left w:w="108" w:type="dxa"/>
        <w:bottom w:w="100" w:type="dxa"/>
        <w:right w:w="108" w:type="dxa"/>
      </w:tblCellMar>
    </w:tblPr>
  </w:style>
  <w:style w:type="table" w:customStyle="1" w:styleId="aa">
    <w:basedOn w:val="TableNormal3"/>
    <w:tblPr>
      <w:tblStyleRowBandSize w:val="1"/>
      <w:tblStyleColBandSize w:val="1"/>
      <w:tblCellMar>
        <w:top w:w="100" w:type="dxa"/>
        <w:left w:w="108" w:type="dxa"/>
        <w:bottom w:w="100" w:type="dxa"/>
        <w:right w:w="108" w:type="dxa"/>
      </w:tblCellMar>
    </w:tblPr>
  </w:style>
  <w:style w:type="table" w:customStyle="1" w:styleId="ab">
    <w:basedOn w:val="TableNormal3"/>
    <w:tblPr>
      <w:tblStyleRowBandSize w:val="1"/>
      <w:tblStyleColBandSize w:val="1"/>
      <w:tblCellMar>
        <w:top w:w="100" w:type="dxa"/>
        <w:left w:w="108" w:type="dxa"/>
        <w:bottom w:w="100" w:type="dxa"/>
        <w:right w:w="108" w:type="dxa"/>
      </w:tblCellMar>
    </w:tblPr>
  </w:style>
  <w:style w:type="table" w:customStyle="1" w:styleId="ac">
    <w:basedOn w:val="TableNormal3"/>
    <w:tblPr>
      <w:tblStyleRowBandSize w:val="1"/>
      <w:tblStyleColBandSize w:val="1"/>
      <w:tblCellMar>
        <w:top w:w="100" w:type="dxa"/>
        <w:left w:w="108" w:type="dxa"/>
        <w:bottom w:w="100" w:type="dxa"/>
        <w:right w:w="108" w:type="dxa"/>
      </w:tblCellMar>
    </w:tblPr>
  </w:style>
  <w:style w:type="table" w:customStyle="1" w:styleId="ad">
    <w:basedOn w:val="TableNormal3"/>
    <w:tblPr>
      <w:tblStyleRowBandSize w:val="1"/>
      <w:tblStyleColBandSize w:val="1"/>
      <w:tblCellMar>
        <w:top w:w="100" w:type="dxa"/>
        <w:left w:w="108" w:type="dxa"/>
        <w:bottom w:w="100" w:type="dxa"/>
        <w:right w:w="108" w:type="dxa"/>
      </w:tblCellMar>
    </w:tblPr>
  </w:style>
  <w:style w:type="table" w:customStyle="1" w:styleId="ae">
    <w:basedOn w:val="TableNormal3"/>
    <w:tblPr>
      <w:tblStyleRowBandSize w:val="1"/>
      <w:tblStyleColBandSize w:val="1"/>
      <w:tblCellMar>
        <w:top w:w="100" w:type="dxa"/>
        <w:left w:w="108" w:type="dxa"/>
        <w:bottom w:w="100" w:type="dxa"/>
        <w:right w:w="108" w:type="dxa"/>
      </w:tblCellMar>
    </w:tblPr>
  </w:style>
  <w:style w:type="table" w:customStyle="1" w:styleId="af">
    <w:basedOn w:val="TableNormal2"/>
    <w:tblPr>
      <w:tblStyleRowBandSize w:val="1"/>
      <w:tblStyleColBandSize w:val="1"/>
      <w:tblCellMar>
        <w:top w:w="100" w:type="dxa"/>
        <w:left w:w="108" w:type="dxa"/>
        <w:bottom w:w="100" w:type="dxa"/>
        <w:right w:w="108" w:type="dxa"/>
      </w:tblCellMar>
    </w:tblPr>
  </w:style>
  <w:style w:type="table" w:customStyle="1" w:styleId="af0">
    <w:basedOn w:val="TableNormal2"/>
    <w:tblPr>
      <w:tblStyleRowBandSize w:val="1"/>
      <w:tblStyleColBandSize w:val="1"/>
      <w:tblCellMar>
        <w:top w:w="100" w:type="dxa"/>
        <w:left w:w="108" w:type="dxa"/>
        <w:bottom w:w="100" w:type="dxa"/>
        <w:right w:w="108" w:type="dxa"/>
      </w:tblCellMar>
    </w:tblPr>
  </w:style>
  <w:style w:type="table" w:customStyle="1" w:styleId="af1">
    <w:basedOn w:val="TableNormal2"/>
    <w:tblPr>
      <w:tblStyleRowBandSize w:val="1"/>
      <w:tblStyleColBandSize w:val="1"/>
      <w:tblCellMar>
        <w:top w:w="100" w:type="dxa"/>
        <w:left w:w="108" w:type="dxa"/>
        <w:bottom w:w="100" w:type="dxa"/>
        <w:right w:w="108" w:type="dxa"/>
      </w:tblCellMar>
    </w:tblPr>
  </w:style>
  <w:style w:type="table" w:customStyle="1" w:styleId="af2">
    <w:basedOn w:val="TableNormal2"/>
    <w:tblPr>
      <w:tblStyleRowBandSize w:val="1"/>
      <w:tblStyleColBandSize w:val="1"/>
      <w:tblCellMar>
        <w:top w:w="100" w:type="dxa"/>
        <w:left w:w="108" w:type="dxa"/>
        <w:bottom w:w="100" w:type="dxa"/>
        <w:right w:w="108" w:type="dxa"/>
      </w:tblCellMar>
    </w:tblPr>
  </w:style>
  <w:style w:type="table" w:customStyle="1" w:styleId="af3">
    <w:basedOn w:val="TableNormal2"/>
    <w:tblPr>
      <w:tblStyleRowBandSize w:val="1"/>
      <w:tblStyleColBandSize w:val="1"/>
      <w:tblCellMar>
        <w:top w:w="100" w:type="dxa"/>
        <w:left w:w="108" w:type="dxa"/>
        <w:bottom w:w="100" w:type="dxa"/>
        <w:right w:w="108" w:type="dxa"/>
      </w:tblCellMar>
    </w:tblPr>
  </w:style>
  <w:style w:type="table" w:customStyle="1" w:styleId="af4">
    <w:basedOn w:val="TableNormal2"/>
    <w:tblPr>
      <w:tblStyleRowBandSize w:val="1"/>
      <w:tblStyleColBandSize w:val="1"/>
      <w:tblCellMar>
        <w:top w:w="100" w:type="dxa"/>
        <w:left w:w="108" w:type="dxa"/>
        <w:bottom w:w="100" w:type="dxa"/>
        <w:right w:w="108" w:type="dxa"/>
      </w:tblCellMar>
    </w:tblPr>
  </w:style>
  <w:style w:type="table" w:customStyle="1" w:styleId="af5">
    <w:basedOn w:val="TableNormal2"/>
    <w:tblPr>
      <w:tblStyleRowBandSize w:val="1"/>
      <w:tblStyleColBandSize w:val="1"/>
      <w:tblCellMar>
        <w:left w:w="115" w:type="dxa"/>
        <w:right w:w="115" w:type="dxa"/>
      </w:tblCellMar>
    </w:tblPr>
  </w:style>
  <w:style w:type="table" w:customStyle="1" w:styleId="af6">
    <w:basedOn w:val="TableNormal2"/>
    <w:tblPr>
      <w:tblStyleRowBandSize w:val="1"/>
      <w:tblStyleColBandSize w:val="1"/>
      <w:tblCellMar>
        <w:left w:w="115" w:type="dxa"/>
        <w:right w:w="115" w:type="dxa"/>
      </w:tblCellMar>
    </w:tblPr>
  </w:style>
  <w:style w:type="table" w:customStyle="1" w:styleId="af7">
    <w:basedOn w:val="TableNormal1"/>
    <w:tblPr>
      <w:tblStyleRowBandSize w:val="1"/>
      <w:tblStyleColBandSize w:val="1"/>
      <w:tblCellMar>
        <w:top w:w="100" w:type="dxa"/>
        <w:left w:w="115" w:type="dxa"/>
        <w:bottom w:w="100" w:type="dxa"/>
        <w:right w:w="115" w:type="dxa"/>
      </w:tblCellMar>
    </w:tblPr>
  </w:style>
  <w:style w:type="table" w:customStyle="1" w:styleId="af8">
    <w:basedOn w:val="TableNormal1"/>
    <w:tblPr>
      <w:tblStyleRowBandSize w:val="1"/>
      <w:tblStyleColBandSize w:val="1"/>
      <w:tblCellMar>
        <w:top w:w="100" w:type="dxa"/>
        <w:left w:w="115" w:type="dxa"/>
        <w:bottom w:w="100" w:type="dxa"/>
        <w:right w:w="115" w:type="dxa"/>
      </w:tblCellMar>
    </w:tblPr>
  </w:style>
  <w:style w:type="table" w:customStyle="1" w:styleId="af9">
    <w:basedOn w:val="TableNormal1"/>
    <w:tblPr>
      <w:tblStyleRowBandSize w:val="1"/>
      <w:tblStyleColBandSize w:val="1"/>
      <w:tblCellMar>
        <w:top w:w="100" w:type="dxa"/>
        <w:left w:w="115" w:type="dxa"/>
        <w:bottom w:w="100" w:type="dxa"/>
        <w:right w:w="115" w:type="dxa"/>
      </w:tblCellMar>
    </w:tblPr>
  </w:style>
  <w:style w:type="table" w:customStyle="1" w:styleId="afa">
    <w:basedOn w:val="TableNormal1"/>
    <w:tblPr>
      <w:tblStyleRowBandSize w:val="1"/>
      <w:tblStyleColBandSize w:val="1"/>
      <w:tblCellMar>
        <w:top w:w="100" w:type="dxa"/>
        <w:left w:w="115" w:type="dxa"/>
        <w:bottom w:w="100" w:type="dxa"/>
        <w:right w:w="115" w:type="dxa"/>
      </w:tblCellMar>
    </w:tblPr>
  </w:style>
  <w:style w:type="table" w:customStyle="1" w:styleId="afb">
    <w:basedOn w:val="TableNormal1"/>
    <w:tblPr>
      <w:tblStyleRowBandSize w:val="1"/>
      <w:tblStyleColBandSize w:val="1"/>
      <w:tblCellMar>
        <w:top w:w="100" w:type="dxa"/>
        <w:left w:w="115" w:type="dxa"/>
        <w:bottom w:w="100" w:type="dxa"/>
        <w:right w:w="115" w:type="dxa"/>
      </w:tblCellMar>
    </w:tblPr>
  </w:style>
  <w:style w:type="table" w:customStyle="1" w:styleId="afc">
    <w:basedOn w:val="TableNormal1"/>
    <w:tblPr>
      <w:tblStyleRowBandSize w:val="1"/>
      <w:tblStyleColBandSize w:val="1"/>
      <w:tblCellMar>
        <w:top w:w="100" w:type="dxa"/>
        <w:left w:w="115" w:type="dxa"/>
        <w:bottom w:w="100" w:type="dxa"/>
        <w:right w:w="115" w:type="dxa"/>
      </w:tblCellMar>
    </w:tblPr>
  </w:style>
  <w:style w:type="table" w:customStyle="1" w:styleId="afd">
    <w:basedOn w:val="TableNormal1"/>
    <w:tblPr>
      <w:tblStyleRowBandSize w:val="1"/>
      <w:tblStyleColBandSize w:val="1"/>
      <w:tblCellMar>
        <w:top w:w="100" w:type="dxa"/>
        <w:left w:w="115" w:type="dxa"/>
        <w:bottom w:w="100" w:type="dxa"/>
        <w:right w:w="115" w:type="dxa"/>
      </w:tblCellMar>
    </w:tblPr>
  </w:style>
  <w:style w:type="table" w:customStyle="1" w:styleId="afe">
    <w:basedOn w:val="Tablanormal"/>
    <w:tblPr>
      <w:tblStyleRowBandSize w:val="1"/>
      <w:tblStyleColBandSize w:val="1"/>
      <w:tblCellMar>
        <w:top w:w="100" w:type="dxa"/>
        <w:left w:w="115" w:type="dxa"/>
        <w:bottom w:w="100" w:type="dxa"/>
        <w:right w:w="115" w:type="dxa"/>
      </w:tblCellMar>
    </w:tblPr>
  </w:style>
  <w:style w:type="table" w:customStyle="1" w:styleId="aff">
    <w:basedOn w:val="Tablanormal"/>
    <w:tblPr>
      <w:tblStyleRowBandSize w:val="1"/>
      <w:tblStyleColBandSize w:val="1"/>
      <w:tblCellMar>
        <w:top w:w="100" w:type="dxa"/>
        <w:left w:w="115" w:type="dxa"/>
        <w:bottom w:w="100" w:type="dxa"/>
        <w:right w:w="115" w:type="dxa"/>
      </w:tblCellMar>
    </w:tblPr>
  </w:style>
  <w:style w:type="table" w:customStyle="1" w:styleId="aff0">
    <w:basedOn w:val="Tablanormal"/>
    <w:tblPr>
      <w:tblStyleRowBandSize w:val="1"/>
      <w:tblStyleColBandSize w:val="1"/>
      <w:tblCellMar>
        <w:top w:w="100" w:type="dxa"/>
        <w:left w:w="115" w:type="dxa"/>
        <w:bottom w:w="100" w:type="dxa"/>
        <w:right w:w="115" w:type="dxa"/>
      </w:tblCellMar>
    </w:tblPr>
  </w:style>
  <w:style w:type="table" w:customStyle="1" w:styleId="aff1">
    <w:basedOn w:val="Tablanormal"/>
    <w:tblPr>
      <w:tblStyleRowBandSize w:val="1"/>
      <w:tblStyleColBandSize w:val="1"/>
      <w:tblCellMar>
        <w:top w:w="100" w:type="dxa"/>
        <w:left w:w="115" w:type="dxa"/>
        <w:bottom w:w="100" w:type="dxa"/>
        <w:right w:w="115" w:type="dxa"/>
      </w:tblCellMar>
    </w:tblPr>
  </w:style>
  <w:style w:type="table" w:customStyle="1" w:styleId="aff2">
    <w:basedOn w:val="Tablanormal"/>
    <w:tblPr>
      <w:tblStyleRowBandSize w:val="1"/>
      <w:tblStyleColBandSize w:val="1"/>
      <w:tblCellMar>
        <w:top w:w="100" w:type="dxa"/>
        <w:left w:w="115" w:type="dxa"/>
        <w:bottom w:w="100" w:type="dxa"/>
        <w:right w:w="115" w:type="dxa"/>
      </w:tblCellMar>
    </w:tblPr>
  </w:style>
  <w:style w:type="table" w:customStyle="1" w:styleId="aff3">
    <w:basedOn w:val="Tablanormal"/>
    <w:tblPr>
      <w:tblStyleRowBandSize w:val="1"/>
      <w:tblStyleColBandSize w:val="1"/>
      <w:tblCellMar>
        <w:top w:w="100" w:type="dxa"/>
        <w:left w:w="115" w:type="dxa"/>
        <w:bottom w:w="100" w:type="dxa"/>
        <w:right w:w="115" w:type="dxa"/>
      </w:tblCellMar>
    </w:tblPr>
  </w:style>
  <w:style w:type="table" w:customStyle="1" w:styleId="aff4">
    <w:basedOn w:val="Tablanormal"/>
    <w:tblPr>
      <w:tblStyleRowBandSize w:val="1"/>
      <w:tblStyleColBandSize w:val="1"/>
      <w:tblCellMar>
        <w:top w:w="100" w:type="dxa"/>
        <w:left w:w="115" w:type="dxa"/>
        <w:bottom w:w="100" w:type="dxa"/>
        <w:right w:w="115" w:type="dxa"/>
      </w:tblCellMar>
    </w:tblPr>
  </w:style>
  <w:style w:type="table" w:customStyle="1" w:styleId="aff5">
    <w:basedOn w:val="Tablanormal"/>
    <w:tblPr>
      <w:tblStyleRowBandSize w:val="1"/>
      <w:tblStyleColBandSize w:val="1"/>
      <w:tblCellMar>
        <w:top w:w="100" w:type="dxa"/>
        <w:left w:w="115" w:type="dxa"/>
        <w:bottom w:w="100" w:type="dxa"/>
        <w:right w:w="115" w:type="dxa"/>
      </w:tblCellMar>
    </w:tblPr>
  </w:style>
  <w:style w:type="table" w:customStyle="1" w:styleId="aff6">
    <w:basedOn w:val="Tablanormal"/>
    <w:tblPr>
      <w:tblStyleRowBandSize w:val="1"/>
      <w:tblStyleColBandSize w:val="1"/>
      <w:tblCellMar>
        <w:top w:w="100" w:type="dxa"/>
        <w:left w:w="115" w:type="dxa"/>
        <w:bottom w:w="100" w:type="dxa"/>
        <w:right w:w="115" w:type="dxa"/>
      </w:tblCellMar>
    </w:tblPr>
  </w:style>
  <w:style w:type="table" w:customStyle="1" w:styleId="aff7">
    <w:basedOn w:val="Tablanormal"/>
    <w:tblPr>
      <w:tblStyleRowBandSize w:val="1"/>
      <w:tblStyleColBandSize w:val="1"/>
      <w:tblCellMar>
        <w:top w:w="100" w:type="dxa"/>
        <w:left w:w="115" w:type="dxa"/>
        <w:bottom w:w="100" w:type="dxa"/>
        <w:right w:w="115" w:type="dxa"/>
      </w:tblCellMar>
    </w:tblPr>
  </w:style>
  <w:style w:type="table" w:customStyle="1" w:styleId="aff8">
    <w:basedOn w:val="Tablanormal"/>
    <w:tblPr>
      <w:tblStyleRowBandSize w:val="1"/>
      <w:tblStyleColBandSize w:val="1"/>
      <w:tblCellMar>
        <w:top w:w="100" w:type="dxa"/>
        <w:left w:w="115" w:type="dxa"/>
        <w:bottom w:w="100" w:type="dxa"/>
        <w:right w:w="115" w:type="dxa"/>
      </w:tblCellMar>
    </w:tblPr>
  </w:style>
  <w:style w:type="table" w:customStyle="1" w:styleId="aff9">
    <w:basedOn w:val="Tablanormal"/>
    <w:tblPr>
      <w:tblStyleRowBandSize w:val="1"/>
      <w:tblStyleColBandSize w:val="1"/>
      <w:tblCellMar>
        <w:top w:w="100" w:type="dxa"/>
        <w:left w:w="115" w:type="dxa"/>
        <w:bottom w:w="100" w:type="dxa"/>
        <w:right w:w="115" w:type="dxa"/>
      </w:tblCellMar>
    </w:tblPr>
  </w:style>
  <w:style w:type="table" w:customStyle="1" w:styleId="affa">
    <w:basedOn w:val="Tablanormal"/>
    <w:tblPr>
      <w:tblStyleRowBandSize w:val="1"/>
      <w:tblStyleColBandSize w:val="1"/>
      <w:tblCellMar>
        <w:top w:w="100" w:type="dxa"/>
        <w:left w:w="115" w:type="dxa"/>
        <w:bottom w:w="100" w:type="dxa"/>
        <w:right w:w="115" w:type="dxa"/>
      </w:tblCellMar>
    </w:tblPr>
  </w:style>
  <w:style w:type="table" w:customStyle="1" w:styleId="affb">
    <w:basedOn w:val="Tablanormal"/>
    <w:tblPr>
      <w:tblStyleRowBandSize w:val="1"/>
      <w:tblStyleColBandSize w:val="1"/>
      <w:tblCellMar>
        <w:top w:w="100" w:type="dxa"/>
        <w:left w:w="115" w:type="dxa"/>
        <w:bottom w:w="100" w:type="dxa"/>
        <w:right w:w="115" w:type="dxa"/>
      </w:tblCellMar>
    </w:tblPr>
  </w:style>
  <w:style w:type="character" w:styleId="Textodelmarcadordeposicin">
    <w:name w:val="Placeholder Text"/>
    <w:basedOn w:val="Fuentedeprrafopredeter"/>
    <w:uiPriority w:val="99"/>
    <w:semiHidden/>
    <w:rsid w:val="008A3DA1"/>
    <w:rPr>
      <w:color w:val="808080"/>
    </w:rPr>
  </w:style>
  <w:style w:type="character" w:styleId="Textoennegrita">
    <w:name w:val="Strong"/>
    <w:basedOn w:val="Fuentedeprrafopredeter"/>
    <w:uiPriority w:val="22"/>
    <w:qFormat/>
    <w:rsid w:val="00693D84"/>
    <w:rPr>
      <w:b/>
      <w:bCs/>
    </w:rPr>
  </w:style>
  <w:style w:type="character" w:styleId="nfasis">
    <w:name w:val="Emphasis"/>
    <w:basedOn w:val="Fuentedeprrafopredeter"/>
    <w:uiPriority w:val="20"/>
    <w:qFormat/>
    <w:rsid w:val="00693D84"/>
    <w:rPr>
      <w:i/>
      <w:iCs/>
    </w:rPr>
  </w:style>
  <w:style w:type="table" w:customStyle="1" w:styleId="affc">
    <w:basedOn w:val="Tablanormal"/>
    <w:tblPr>
      <w:tblStyleRowBandSize w:val="1"/>
      <w:tblStyleColBandSize w:val="1"/>
      <w:tblCellMar>
        <w:top w:w="100" w:type="dxa"/>
        <w:left w:w="115" w:type="dxa"/>
        <w:bottom w:w="100" w:type="dxa"/>
        <w:right w:w="115" w:type="dxa"/>
      </w:tblCellMar>
    </w:tblPr>
  </w:style>
  <w:style w:type="table" w:customStyle="1" w:styleId="affd">
    <w:basedOn w:val="Tablanormal"/>
    <w:tblPr>
      <w:tblStyleRowBandSize w:val="1"/>
      <w:tblStyleColBandSize w:val="1"/>
      <w:tblCellMar>
        <w:top w:w="100" w:type="dxa"/>
        <w:left w:w="115" w:type="dxa"/>
        <w:bottom w:w="100" w:type="dxa"/>
        <w:right w:w="115" w:type="dxa"/>
      </w:tblCellMar>
    </w:tblPr>
  </w:style>
  <w:style w:type="table" w:customStyle="1" w:styleId="affe">
    <w:basedOn w:val="Tablanormal"/>
    <w:tblPr>
      <w:tblStyleRowBandSize w:val="1"/>
      <w:tblStyleColBandSize w:val="1"/>
      <w:tblCellMar>
        <w:top w:w="100" w:type="dxa"/>
        <w:left w:w="115" w:type="dxa"/>
        <w:bottom w:w="100" w:type="dxa"/>
        <w:right w:w="115" w:type="dxa"/>
      </w:tblCellMar>
    </w:tblPr>
  </w:style>
  <w:style w:type="table" w:customStyle="1" w:styleId="afff">
    <w:basedOn w:val="Tablanormal"/>
    <w:tblPr>
      <w:tblStyleRowBandSize w:val="1"/>
      <w:tblStyleColBandSize w:val="1"/>
      <w:tblCellMar>
        <w:top w:w="100" w:type="dxa"/>
        <w:left w:w="115" w:type="dxa"/>
        <w:bottom w:w="100" w:type="dxa"/>
        <w:right w:w="115" w:type="dxa"/>
      </w:tblCellMar>
    </w:tblPr>
  </w:style>
  <w:style w:type="table" w:customStyle="1" w:styleId="afff0">
    <w:basedOn w:val="Tablanormal"/>
    <w:tblPr>
      <w:tblStyleRowBandSize w:val="1"/>
      <w:tblStyleColBandSize w:val="1"/>
      <w:tblCellMar>
        <w:top w:w="100" w:type="dxa"/>
        <w:left w:w="115" w:type="dxa"/>
        <w:bottom w:w="100" w:type="dxa"/>
        <w:right w:w="115" w:type="dxa"/>
      </w:tblCellMar>
    </w:tblPr>
  </w:style>
  <w:style w:type="table" w:customStyle="1" w:styleId="afff1">
    <w:basedOn w:val="Tablanormal"/>
    <w:tblPr>
      <w:tblStyleRowBandSize w:val="1"/>
      <w:tblStyleColBandSize w:val="1"/>
      <w:tblCellMar>
        <w:top w:w="100" w:type="dxa"/>
        <w:left w:w="115" w:type="dxa"/>
        <w:bottom w:w="100" w:type="dxa"/>
        <w:right w:w="115" w:type="dxa"/>
      </w:tblCellMar>
    </w:tblPr>
  </w:style>
  <w:style w:type="table" w:customStyle="1" w:styleId="afff2">
    <w:basedOn w:val="Tablanormal"/>
    <w:tblPr>
      <w:tblStyleRowBandSize w:val="1"/>
      <w:tblStyleColBandSize w:val="1"/>
      <w:tblCellMar>
        <w:top w:w="100" w:type="dxa"/>
        <w:left w:w="115" w:type="dxa"/>
        <w:bottom w:w="100" w:type="dxa"/>
        <w:right w:w="115" w:type="dxa"/>
      </w:tblCellMar>
    </w:tblPr>
  </w:style>
  <w:style w:type="table" w:customStyle="1" w:styleId="afff3">
    <w:basedOn w:val="Tablanormal"/>
    <w:tblPr>
      <w:tblStyleRowBandSize w:val="1"/>
      <w:tblStyleColBandSize w:val="1"/>
      <w:tblCellMar>
        <w:top w:w="100" w:type="dxa"/>
        <w:left w:w="115" w:type="dxa"/>
        <w:bottom w:w="100" w:type="dxa"/>
        <w:right w:w="115" w:type="dxa"/>
      </w:tblCellMar>
    </w:tblPr>
  </w:style>
  <w:style w:type="table" w:customStyle="1" w:styleId="afff4">
    <w:basedOn w:val="Tablanormal"/>
    <w:tblPr>
      <w:tblStyleRowBandSize w:val="1"/>
      <w:tblStyleColBandSize w:val="1"/>
      <w:tblCellMar>
        <w:top w:w="100" w:type="dxa"/>
        <w:left w:w="115" w:type="dxa"/>
        <w:bottom w:w="100" w:type="dxa"/>
        <w:right w:w="115" w:type="dxa"/>
      </w:tblCellMar>
    </w:tblPr>
  </w:style>
  <w:style w:type="table" w:customStyle="1" w:styleId="afff5">
    <w:basedOn w:val="Tablanormal"/>
    <w:tblPr>
      <w:tblStyleRowBandSize w:val="1"/>
      <w:tblStyleColBandSize w:val="1"/>
      <w:tblCellMar>
        <w:top w:w="100" w:type="dxa"/>
        <w:left w:w="115" w:type="dxa"/>
        <w:bottom w:w="100" w:type="dxa"/>
        <w:right w:w="115" w:type="dxa"/>
      </w:tblCellMar>
    </w:tblPr>
  </w:style>
  <w:style w:type="table" w:customStyle="1" w:styleId="afff6">
    <w:basedOn w:val="Tablanormal"/>
    <w:tblPr>
      <w:tblStyleRowBandSize w:val="1"/>
      <w:tblStyleColBandSize w:val="1"/>
      <w:tblCellMar>
        <w:top w:w="100" w:type="dxa"/>
        <w:left w:w="115" w:type="dxa"/>
        <w:bottom w:w="100" w:type="dxa"/>
        <w:right w:w="115" w:type="dxa"/>
      </w:tblCellMar>
    </w:tblPr>
  </w:style>
  <w:style w:type="table" w:customStyle="1" w:styleId="afff7">
    <w:basedOn w:val="Tablanormal"/>
    <w:tblPr>
      <w:tblStyleRowBandSize w:val="1"/>
      <w:tblStyleColBandSize w:val="1"/>
      <w:tblCellMar>
        <w:top w:w="100" w:type="dxa"/>
        <w:left w:w="115" w:type="dxa"/>
        <w:bottom w:w="100" w:type="dxa"/>
        <w:right w:w="115" w:type="dxa"/>
      </w:tblCellMar>
    </w:tblPr>
  </w:style>
  <w:style w:type="table" w:customStyle="1" w:styleId="afff8">
    <w:basedOn w:val="Tablanormal"/>
    <w:tblPr>
      <w:tblStyleRowBandSize w:val="1"/>
      <w:tblStyleColBandSize w:val="1"/>
      <w:tblCellMar>
        <w:top w:w="100" w:type="dxa"/>
        <w:left w:w="115" w:type="dxa"/>
        <w:bottom w:w="100" w:type="dxa"/>
        <w:right w:w="115" w:type="dxa"/>
      </w:tblCellMar>
    </w:tblPr>
  </w:style>
  <w:style w:type="table" w:customStyle="1" w:styleId="afff9">
    <w:basedOn w:val="Tablanormal"/>
    <w:tblPr>
      <w:tblStyleRowBandSize w:val="1"/>
      <w:tblStyleColBandSize w:val="1"/>
      <w:tblCellMar>
        <w:top w:w="100" w:type="dxa"/>
        <w:left w:w="115" w:type="dxa"/>
        <w:bottom w:w="100" w:type="dxa"/>
        <w:right w:w="115" w:type="dxa"/>
      </w:tblCellMar>
    </w:tblPr>
  </w:style>
  <w:style w:type="table" w:customStyle="1" w:styleId="afffa">
    <w:basedOn w:val="Tablanormal"/>
    <w:tblPr>
      <w:tblStyleRowBandSize w:val="1"/>
      <w:tblStyleColBandSize w:val="1"/>
      <w:tblCellMar>
        <w:top w:w="100" w:type="dxa"/>
        <w:left w:w="115" w:type="dxa"/>
        <w:bottom w:w="100" w:type="dxa"/>
        <w:right w:w="115" w:type="dxa"/>
      </w:tblCellMar>
    </w:tblPr>
  </w:style>
  <w:style w:type="table" w:customStyle="1" w:styleId="afffb">
    <w:basedOn w:val="Tablanormal"/>
    <w:tblPr>
      <w:tblStyleRowBandSize w:val="1"/>
      <w:tblStyleColBandSize w:val="1"/>
      <w:tblCellMar>
        <w:top w:w="100" w:type="dxa"/>
        <w:left w:w="115" w:type="dxa"/>
        <w:bottom w:w="100" w:type="dxa"/>
        <w:right w:w="115" w:type="dxa"/>
      </w:tblCellMar>
    </w:tblPr>
  </w:style>
  <w:style w:type="table" w:customStyle="1" w:styleId="afffc">
    <w:basedOn w:val="Tablanormal"/>
    <w:tblPr>
      <w:tblStyleRowBandSize w:val="1"/>
      <w:tblStyleColBandSize w:val="1"/>
      <w:tblCellMar>
        <w:top w:w="100" w:type="dxa"/>
        <w:left w:w="115" w:type="dxa"/>
        <w:bottom w:w="100" w:type="dxa"/>
        <w:right w:w="115" w:type="dxa"/>
      </w:tblCellMar>
    </w:tblPr>
  </w:style>
  <w:style w:type="table" w:customStyle="1" w:styleId="afffd">
    <w:basedOn w:val="Tablanormal"/>
    <w:tblPr>
      <w:tblStyleRowBandSize w:val="1"/>
      <w:tblStyleColBandSize w:val="1"/>
      <w:tblCellMar>
        <w:top w:w="100" w:type="dxa"/>
        <w:left w:w="115" w:type="dxa"/>
        <w:bottom w:w="100" w:type="dxa"/>
        <w:right w:w="115" w:type="dxa"/>
      </w:tblCellMar>
    </w:tblPr>
  </w:style>
  <w:style w:type="table" w:customStyle="1" w:styleId="afffe">
    <w:basedOn w:val="Tablanormal"/>
    <w:tblPr>
      <w:tblStyleRowBandSize w:val="1"/>
      <w:tblStyleColBandSize w:val="1"/>
      <w:tblCellMar>
        <w:top w:w="100" w:type="dxa"/>
        <w:left w:w="115" w:type="dxa"/>
        <w:bottom w:w="100" w:type="dxa"/>
        <w:right w:w="115" w:type="dxa"/>
      </w:tblCellMar>
    </w:tblPr>
  </w:style>
  <w:style w:type="character" w:customStyle="1" w:styleId="Mencinsinresolver1">
    <w:name w:val="Mención sin resolver1"/>
    <w:basedOn w:val="Fuentedeprrafopredeter"/>
    <w:uiPriority w:val="99"/>
    <w:semiHidden/>
    <w:unhideWhenUsed/>
    <w:rsid w:val="001621F5"/>
    <w:rPr>
      <w:color w:val="605E5C"/>
      <w:shd w:val="clear" w:color="auto" w:fill="E1DFDD"/>
    </w:rPr>
  </w:style>
  <w:style w:type="table" w:customStyle="1" w:styleId="affff">
    <w:basedOn w:val="Tablanormal"/>
    <w:tblPr>
      <w:tblStyleRowBandSize w:val="1"/>
      <w:tblStyleColBandSize w:val="1"/>
      <w:tblCellMar>
        <w:top w:w="100" w:type="dxa"/>
        <w:left w:w="115" w:type="dxa"/>
        <w:bottom w:w="100" w:type="dxa"/>
        <w:right w:w="115" w:type="dxa"/>
      </w:tblCellMar>
    </w:tblPr>
  </w:style>
  <w:style w:type="table" w:customStyle="1" w:styleId="affff0">
    <w:basedOn w:val="Tablanormal"/>
    <w:tblPr>
      <w:tblStyleRowBandSize w:val="1"/>
      <w:tblStyleColBandSize w:val="1"/>
      <w:tblCellMar>
        <w:top w:w="100" w:type="dxa"/>
        <w:left w:w="115" w:type="dxa"/>
        <w:bottom w:w="100" w:type="dxa"/>
        <w:right w:w="115" w:type="dxa"/>
      </w:tblCellMar>
    </w:tblPr>
  </w:style>
  <w:style w:type="table" w:customStyle="1" w:styleId="affff1">
    <w:basedOn w:val="Tablanormal"/>
    <w:tblPr>
      <w:tblStyleRowBandSize w:val="1"/>
      <w:tblStyleColBandSize w:val="1"/>
      <w:tblCellMar>
        <w:top w:w="100" w:type="dxa"/>
        <w:left w:w="115" w:type="dxa"/>
        <w:bottom w:w="100" w:type="dxa"/>
        <w:right w:w="115" w:type="dxa"/>
      </w:tblCellMar>
    </w:tblPr>
  </w:style>
  <w:style w:type="table" w:customStyle="1" w:styleId="affff2">
    <w:basedOn w:val="Tablanormal"/>
    <w:tblPr>
      <w:tblStyleRowBandSize w:val="1"/>
      <w:tblStyleColBandSize w:val="1"/>
      <w:tblCellMar>
        <w:top w:w="100" w:type="dxa"/>
        <w:left w:w="115" w:type="dxa"/>
        <w:bottom w:w="100" w:type="dxa"/>
        <w:right w:w="115" w:type="dxa"/>
      </w:tblCellMar>
    </w:tblPr>
  </w:style>
  <w:style w:type="table" w:customStyle="1" w:styleId="affff3">
    <w:basedOn w:val="Tablanormal"/>
    <w:tblPr>
      <w:tblStyleRowBandSize w:val="1"/>
      <w:tblStyleColBandSize w:val="1"/>
      <w:tblCellMar>
        <w:top w:w="100" w:type="dxa"/>
        <w:left w:w="115" w:type="dxa"/>
        <w:bottom w:w="100" w:type="dxa"/>
        <w:right w:w="115" w:type="dxa"/>
      </w:tblCellMar>
    </w:tblPr>
  </w:style>
  <w:style w:type="paragraph" w:customStyle="1" w:styleId="EndNoteBibliographyTitle">
    <w:name w:val="EndNote Bibliography Title"/>
    <w:basedOn w:val="Normal"/>
    <w:link w:val="EndNoteBibliographyTitleCar"/>
    <w:rsid w:val="009A4C8B"/>
    <w:pPr>
      <w:jc w:val="center"/>
    </w:pPr>
    <w:rPr>
      <w:noProof/>
      <w:lang w:val="es-ES"/>
    </w:rPr>
  </w:style>
  <w:style w:type="character" w:customStyle="1" w:styleId="EndNoteBibliographyTitleCar">
    <w:name w:val="EndNote Bibliography Title Car"/>
    <w:basedOn w:val="Fuentedeprrafopredeter"/>
    <w:link w:val="EndNoteBibliographyTitle"/>
    <w:rsid w:val="009A4C8B"/>
    <w:rPr>
      <w:noProof/>
      <w:lang w:val="es-ES"/>
    </w:rPr>
  </w:style>
  <w:style w:type="paragraph" w:customStyle="1" w:styleId="EndNoteBibliography">
    <w:name w:val="EndNote Bibliography"/>
    <w:basedOn w:val="Normal"/>
    <w:link w:val="EndNoteBibliographyCar"/>
    <w:rsid w:val="009A4C8B"/>
    <w:rPr>
      <w:noProof/>
      <w:lang w:val="es-ES"/>
    </w:rPr>
  </w:style>
  <w:style w:type="character" w:customStyle="1" w:styleId="EndNoteBibliographyCar">
    <w:name w:val="EndNote Bibliography Car"/>
    <w:basedOn w:val="Fuentedeprrafopredeter"/>
    <w:link w:val="EndNoteBibliography"/>
    <w:rsid w:val="009A4C8B"/>
    <w:rPr>
      <w:noProof/>
      <w:lang w:val="es-ES"/>
    </w:rPr>
  </w:style>
  <w:style w:type="table" w:customStyle="1" w:styleId="affff4">
    <w:basedOn w:val="TableNormal0"/>
    <w:tblPr>
      <w:tblStyleRowBandSize w:val="1"/>
      <w:tblStyleColBandSize w:val="1"/>
      <w:tblCellMar>
        <w:top w:w="100" w:type="dxa"/>
        <w:left w:w="115" w:type="dxa"/>
        <w:bottom w:w="100" w:type="dxa"/>
        <w:right w:w="115" w:type="dxa"/>
      </w:tblCellMar>
    </w:tblPr>
  </w:style>
  <w:style w:type="table" w:customStyle="1" w:styleId="affff5">
    <w:basedOn w:val="TableNormal0"/>
    <w:tblPr>
      <w:tblStyleRowBandSize w:val="1"/>
      <w:tblStyleColBandSize w:val="1"/>
      <w:tblCellMar>
        <w:top w:w="100" w:type="dxa"/>
        <w:left w:w="115" w:type="dxa"/>
        <w:bottom w:w="100" w:type="dxa"/>
        <w:right w:w="115" w:type="dxa"/>
      </w:tblCellMar>
    </w:tblPr>
  </w:style>
  <w:style w:type="table" w:customStyle="1" w:styleId="affff6">
    <w:basedOn w:val="TableNormal0"/>
    <w:tblPr>
      <w:tblStyleRowBandSize w:val="1"/>
      <w:tblStyleColBandSize w:val="1"/>
      <w:tblCellMar>
        <w:top w:w="100" w:type="dxa"/>
        <w:left w:w="115" w:type="dxa"/>
        <w:bottom w:w="100" w:type="dxa"/>
        <w:right w:w="115" w:type="dxa"/>
      </w:tblCellMar>
    </w:tblPr>
  </w:style>
  <w:style w:type="table" w:customStyle="1" w:styleId="affff7">
    <w:basedOn w:val="TableNormal0"/>
    <w:tblPr>
      <w:tblStyleRowBandSize w:val="1"/>
      <w:tblStyleColBandSize w:val="1"/>
      <w:tblCellMar>
        <w:top w:w="100" w:type="dxa"/>
        <w:left w:w="115" w:type="dxa"/>
        <w:bottom w:w="100" w:type="dxa"/>
        <w:right w:w="115" w:type="dxa"/>
      </w:tblCellMar>
    </w:tblPr>
  </w:style>
  <w:style w:type="table" w:customStyle="1" w:styleId="affff8">
    <w:basedOn w:val="TableNormal0"/>
    <w:tblPr>
      <w:tblStyleRowBandSize w:val="1"/>
      <w:tblStyleColBandSize w:val="1"/>
      <w:tblCellMar>
        <w:top w:w="100" w:type="dxa"/>
        <w:left w:w="115" w:type="dxa"/>
        <w:bottom w:w="100" w:type="dxa"/>
        <w:right w:w="115" w:type="dxa"/>
      </w:tblCellMar>
    </w:tblPr>
  </w:style>
  <w:style w:type="character" w:styleId="Nmerodelnea">
    <w:name w:val="line number"/>
    <w:basedOn w:val="Fuentedeprrafopredeter"/>
    <w:uiPriority w:val="99"/>
    <w:semiHidden/>
    <w:unhideWhenUsed/>
    <w:rsid w:val="003C24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gN6MggDd2MYywDc5S3OiAUCF8rcg==">AMUW2mXWrSvBVV4yo+ndMP6lWOAoLPsP3IDz8/bLXsJ8vvipUNUsTAIrm/kW9Qap9hI5Gz0VtW98EVcFgefG4IvdY4mrdyWwZj8aL0usmoVUfIPNaxPs+CnbdQ5ylkcm0nkY4eQV+LxeRGosGaJ+bJ9XGD1n3js8qvv3UZYgTQ0eUHH4GMwNEqxFOkzojipLZEhfvtDOJ+CHTHyn1zCn7586F/1y0lpsV7+D4s4/o/dyUfPyG6We+YU=</go:docsCustomData>
</go:gDocsCustomXmlDataStorage>
</file>

<file path=customXml/itemProps1.xml><?xml version="1.0" encoding="utf-8"?>
<ds:datastoreItem xmlns:ds="http://schemas.openxmlformats.org/officeDocument/2006/customXml" ds:itemID="{EB44E93B-CD57-4F17-9AE2-F2D8F4C0BA2B}">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22</Pages>
  <Words>6060</Words>
  <Characters>34548</Characters>
  <Application>Microsoft Office Word</Application>
  <DocSecurity>0</DocSecurity>
  <Lines>287</Lines>
  <Paragraphs>81</Paragraphs>
  <ScaleCrop>false</ScaleCrop>
  <HeadingPairs>
    <vt:vector size="2" baseType="variant">
      <vt:variant>
        <vt:lpstr>Título</vt:lpstr>
      </vt:variant>
      <vt:variant>
        <vt:i4>1</vt:i4>
      </vt:variant>
    </vt:vector>
  </HeadingPairs>
  <TitlesOfParts>
    <vt:vector size="1" baseType="lpstr">
      <vt:lpstr/>
    </vt:vector>
  </TitlesOfParts>
  <Company>CUN</Company>
  <LinksUpToDate>false</LinksUpToDate>
  <CharactersWithSpaces>40527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Paola Quan</dc:creator>
  <cp:lastModifiedBy>Marina Sabaté Brescó</cp:lastModifiedBy>
  <cp:revision>2</cp:revision>
  <dcterms:created xsi:type="dcterms:W3CDTF">2021-06-15T22:13:00Z</dcterms:created>
  <dcterms:modified xsi:type="dcterms:W3CDTF">2021-06-15T22:13:00Z</dcterms:modified>
</cp:coreProperties>
</file>